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tblGridChange w:id="0">
          <w:tblGrid>
            <w:gridCol w:w="2303"/>
            <w:gridCol w:w="2303"/>
            <w:gridCol w:w="1418"/>
            <w:gridCol w:w="1984"/>
            <w:gridCol w:w="12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Astronomical Geography and Cartography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tl w:val="0"/>
              </w:rPr>
              <w:t xml:space="preserve">seminar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autumn semester, </w:t>
            </w:r>
            <w:r w:rsidDel="00000000" w:rsidR="00000000" w:rsidRPr="00000000">
              <w:rPr>
                <w:rtl w:val="0"/>
              </w:rPr>
              <w:t xml:space="preserve">☒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Péter GYENIZSE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PhD (FS, Institute of Geography, Department of </w:t>
            </w:r>
            <w:r w:rsidDel="00000000" w:rsidR="00000000" w:rsidRPr="00000000">
              <w:rPr>
                <w:rtl w:val="0"/>
              </w:rPr>
              <w:t xml:space="preserve"> Cartography and Geoinformatics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László NAGYVÁRADI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Péter GYENIZSE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50 %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</w:p>
          <w:p w:rsidR="00000000" w:rsidDel="00000000" w:rsidP="00000000" w:rsidRDefault="00000000" w:rsidRPr="00000000" w14:paraId="00000040">
            <w:pPr>
              <w:pageBreakBefore w:val="0"/>
              <w:rPr>
                <w:rFonts w:ascii="Old Standard TT" w:cs="Old Standard TT" w:eastAsia="Old Standard TT" w:hAnsi="Old Standard TT"/>
              </w:rPr>
            </w:pPr>
            <w:r w:rsidDel="00000000" w:rsidR="00000000" w:rsidRPr="00000000">
              <w:rPr>
                <w:rtl w:val="0"/>
              </w:rPr>
              <w:t xml:space="preserve">The course develops the geographical skills, optimises the capabilities of the orientation on the Earth surface and on the sky.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46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1      Basic concepts</w:t>
            </w:r>
          </w:p>
          <w:p w:rsidR="00000000" w:rsidDel="00000000" w:rsidP="00000000" w:rsidRDefault="00000000" w:rsidRPr="00000000" w14:paraId="00000047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2      Calculation with geographical coordinates</w:t>
            </w:r>
          </w:p>
          <w:p w:rsidR="00000000" w:rsidDel="00000000" w:rsidP="00000000" w:rsidRDefault="00000000" w:rsidRPr="00000000" w14:paraId="00000048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3      Distance and azimuth angle calculation and measuring on the Globe</w:t>
            </w:r>
          </w:p>
          <w:p w:rsidR="00000000" w:rsidDel="00000000" w:rsidP="00000000" w:rsidRDefault="00000000" w:rsidRPr="00000000" w14:paraId="00000049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4      Time difference calculation</w:t>
            </w:r>
          </w:p>
          <w:p w:rsidR="00000000" w:rsidDel="00000000" w:rsidP="00000000" w:rsidRDefault="00000000" w:rsidRPr="00000000" w14:paraId="0000004A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5      International Date Line</w:t>
            </w:r>
          </w:p>
          <w:p w:rsidR="00000000" w:rsidDel="00000000" w:rsidP="00000000" w:rsidRDefault="00000000" w:rsidRPr="00000000" w14:paraId="0000004B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6      Calculation in azimuthal coordinate system</w:t>
            </w:r>
          </w:p>
          <w:p w:rsidR="00000000" w:rsidDel="00000000" w:rsidP="00000000" w:rsidRDefault="00000000" w:rsidRPr="00000000" w14:paraId="0000004C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7      Calculation in equatorial coordinate system</w:t>
            </w:r>
          </w:p>
          <w:p w:rsidR="00000000" w:rsidDel="00000000" w:rsidP="00000000" w:rsidRDefault="00000000" w:rsidRPr="00000000" w14:paraId="0000004D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8      Map projections and projection conversion</w:t>
            </w:r>
          </w:p>
          <w:p w:rsidR="00000000" w:rsidDel="00000000" w:rsidP="00000000" w:rsidRDefault="00000000" w:rsidRPr="00000000" w14:paraId="0000004E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9      National Topographic System and Global Topographic System </w:t>
            </w:r>
          </w:p>
          <w:p w:rsidR="00000000" w:rsidDel="00000000" w:rsidP="00000000" w:rsidRDefault="00000000" w:rsidRPr="00000000" w14:paraId="0000004F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10   Relief portrayal, relief mapping methods </w:t>
            </w:r>
          </w:p>
          <w:p w:rsidR="00000000" w:rsidDel="00000000" w:rsidP="00000000" w:rsidRDefault="00000000" w:rsidRPr="00000000" w14:paraId="00000050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11   Map's symbols, map interpretation</w:t>
            </w:r>
          </w:p>
          <w:p w:rsidR="00000000" w:rsidDel="00000000" w:rsidP="00000000" w:rsidRDefault="00000000" w:rsidRPr="00000000" w14:paraId="00000051">
            <w:pPr>
              <w:pageBreakBefore w:val="0"/>
              <w:tabs>
                <w:tab w:val="left" w:pos="127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12   Measurement on the map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Week 13    Thematic maps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Astronomic geography: 3 tests on 2., 4. and 7. weeks.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Cartography: 1 test on 13. week.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5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Calculation of mark: Astronomic geography (50%), Cartography (50%).</w:t>
            </w:r>
          </w:p>
          <w:p w:rsidR="00000000" w:rsidDel="00000000" w:rsidP="00000000" w:rsidRDefault="00000000" w:rsidRPr="00000000" w14:paraId="000000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 If the mark of Astronomic geography is one (1) or the mark of Cartography is one (1), the whole mark of course is one (the course isn’t satisfied). 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66">
            <w:pPr>
              <w:pageBreakBefore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A. Jon Kimerling, Aileen R. Buckley, Phillip C. Muehrcke, Juliana O. Muehrcke 2012: Map Use: Reading and Analysis - ESRI Press Academic, 585 p.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Astronomical geography study guide printed text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Péter GYENIZSE  PhD</w:t>
            </w:r>
          </w:p>
          <w:p w:rsidR="00000000" w:rsidDel="00000000" w:rsidP="00000000" w:rsidRDefault="00000000" w:rsidRPr="00000000" w14:paraId="0000007C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8A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8B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8C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[%1]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