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Physical Geography of Europe</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52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6</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NAGYVÁRADI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w:t>
            </w:r>
            <w:r w:rsidDel="00000000" w:rsidR="00000000" w:rsidRPr="00000000">
              <w:rPr>
                <w:rtl w:val="0"/>
              </w:rPr>
              <w:t xml:space="preserve">and Earth Sciences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Department of Cartography and Geoinformatics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NAGYVÁRADI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r w:rsidDel="00000000" w:rsidR="00000000" w:rsidRPr="00000000">
              <w:rPr>
                <w:rtl w:val="0"/>
              </w:rPr>
              <w:t xml:space="preserve">On successful completion of this course students are acquainted with the landscape of Europe, the laws, interactions, processes which influence geologic, hydrologic, and climatological  geomorphic evolution and are familiar their dynamics.</w:t>
            </w:r>
          </w:p>
          <w:p w:rsidR="00000000" w:rsidDel="00000000" w:rsidP="00000000" w:rsidRDefault="00000000" w:rsidRPr="00000000" w14:paraId="00000031">
            <w:pPr>
              <w:pageBreakBefore w:val="0"/>
              <w:ind w:left="-15" w:firstLine="0"/>
              <w:rPr/>
            </w:pPr>
            <w:r w:rsidDel="00000000" w:rsidR="00000000" w:rsidRPr="00000000">
              <w:rPr>
                <w:rtl w:val="0"/>
              </w:rPr>
              <w:t xml:space="preserve">On successful completion of the course students are expected to be able to:</w:t>
            </w:r>
          </w:p>
          <w:p w:rsidR="00000000" w:rsidDel="00000000" w:rsidP="00000000" w:rsidRDefault="00000000" w:rsidRPr="00000000" w14:paraId="00000032">
            <w:pPr>
              <w:pageBreakBefore w:val="0"/>
              <w:ind w:left="-15" w:firstLine="0"/>
              <w:rPr/>
            </w:pPr>
            <w:r w:rsidDel="00000000" w:rsidR="00000000" w:rsidRPr="00000000">
              <w:rPr>
                <w:rtl w:val="0"/>
              </w:rPr>
              <w:t xml:space="preserve">interpret the impact of physical geographical processes on the  surface of Europe,</w:t>
            </w:r>
          </w:p>
          <w:p w:rsidR="00000000" w:rsidDel="00000000" w:rsidP="00000000" w:rsidRDefault="00000000" w:rsidRPr="00000000" w14:paraId="00000033">
            <w:pPr>
              <w:pageBreakBefore w:val="0"/>
              <w:ind w:left="-15" w:firstLine="0"/>
              <w:rPr/>
            </w:pPr>
            <w:r w:rsidDel="00000000" w:rsidR="00000000" w:rsidRPr="00000000">
              <w:rPr>
                <w:rtl w:val="0"/>
              </w:rPr>
              <w:t xml:space="preserve">recognize surface landforms on which the everyday activities of humanity take place,</w:t>
            </w:r>
          </w:p>
          <w:p w:rsidR="00000000" w:rsidDel="00000000" w:rsidP="00000000" w:rsidRDefault="00000000" w:rsidRPr="00000000" w14:paraId="00000034">
            <w:pPr>
              <w:pageBreakBefore w:val="0"/>
              <w:ind w:left="-15" w:firstLine="0"/>
              <w:rPr/>
            </w:pPr>
            <w:r w:rsidDel="00000000" w:rsidR="00000000" w:rsidRPr="00000000">
              <w:rPr>
                <w:rtl w:val="0"/>
              </w:rPr>
              <w:t xml:space="preserve">reveal their origin and to evaluate environmental changes (climate change, human impact) from a physical geographical perspective.</w:t>
            </w:r>
          </w:p>
          <w:p w:rsidR="00000000" w:rsidDel="00000000" w:rsidP="00000000" w:rsidRDefault="00000000" w:rsidRPr="00000000" w14:paraId="00000035">
            <w:pPr>
              <w:pageBreakBefore w:val="0"/>
              <w:ind w:left="-15" w:firstLine="0"/>
              <w:rPr/>
            </w:pPr>
            <w:r w:rsidDel="00000000" w:rsidR="00000000" w:rsidRPr="00000000">
              <w:rPr>
                <w:rtl w:val="0"/>
              </w:rPr>
              <w:t xml:space="preserve">In addition to have an understanding of phenomena and interrelationships, students in teacher training become able to apply the logic of transmitting geographical information, its variability and the incorporation of physical geographical knowledge in teaching geography. </w:t>
            </w:r>
          </w:p>
          <w:p w:rsidR="00000000" w:rsidDel="00000000" w:rsidP="00000000" w:rsidRDefault="00000000" w:rsidRPr="00000000" w14:paraId="00000036">
            <w:pPr>
              <w:pageBreakBefore w:val="0"/>
              <w:ind w:left="-15" w:firstLine="0"/>
              <w:rPr/>
            </w:pPr>
            <w:r w:rsidDel="00000000" w:rsidR="00000000" w:rsidRPr="00000000">
              <w:rPr>
                <w:rtl w:val="0"/>
              </w:rPr>
              <w:t xml:space="preserve">Subject-specific skills:</w:t>
            </w:r>
          </w:p>
          <w:p w:rsidR="00000000" w:rsidDel="00000000" w:rsidP="00000000" w:rsidRDefault="00000000" w:rsidRPr="00000000" w14:paraId="00000037">
            <w:pPr>
              <w:pageBreakBefore w:val="0"/>
              <w:ind w:left="-15" w:firstLine="0"/>
              <w:rPr>
                <w:b w:val="1"/>
              </w:rPr>
            </w:pPr>
            <w:r w:rsidDel="00000000" w:rsidR="00000000" w:rsidRPr="00000000">
              <w:rPr>
                <w:rtl w:val="0"/>
              </w:rPr>
              <w:t xml:space="preserve">Students in earth sciences become capable of finding topics of contact between geology, hydrology, climatology and geomorphology, recognizing and explaining the impact of geological processes on the surface of the European continent. </w:t>
            </w:r>
            <w:r w:rsidDel="00000000" w:rsidR="00000000" w:rsidRPr="00000000">
              <w:rPr>
                <w:rtl w:val="0"/>
              </w:rPr>
            </w:r>
          </w:p>
          <w:p w:rsidR="00000000" w:rsidDel="00000000" w:rsidP="00000000" w:rsidRDefault="00000000" w:rsidRPr="00000000" w14:paraId="00000038">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3E">
            <w:pPr>
              <w:pageBreakBefore w:val="0"/>
              <w:tabs>
                <w:tab w:val="left" w:pos="1276"/>
              </w:tabs>
              <w:ind w:left="-7.999999999999972" w:firstLine="0"/>
              <w:jc w:val="both"/>
              <w:rPr>
                <w:b w:val="1"/>
              </w:rPr>
            </w:pPr>
            <w:r w:rsidDel="00000000" w:rsidR="00000000" w:rsidRPr="00000000">
              <w:rPr>
                <w:rtl w:val="0"/>
              </w:rPr>
              <w:t xml:space="preserve">In addition to frontal lectures the particular topics are discussed through individual work. Practices are divided into two blocks of equal length (twice 45 minutes). Here the focus is on the explanation basic processes and phenomena (both physical and chemical) affecting the evolution of physical environment of Europe.,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Lecture: Europe as a continent location  boundaries and physical characteristics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                          Practice: Countries, seas, mountains and rivers geographical units</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Lecture: The geologic evolution of Europe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                          Practice: The endogene dynamism </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Lecture: Geomorphological types of Europe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                          Practice: Patterns of terrain</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Lecture: The hydrology of the Continent</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Practice:  landforms  produced by water sediments</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Lecture: The climates of the Continent</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                          Practice. climatological elements</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Lecture: Midterm exam</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                         Practice: midterm exam</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Lecture: Regional geography: Western Europe</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                         Practice: Topography of the Western European countries</w:t>
            </w:r>
          </w:p>
          <w:p w:rsidR="00000000" w:rsidDel="00000000" w:rsidP="00000000" w:rsidRDefault="00000000" w:rsidRPr="00000000" w14:paraId="0000004D">
            <w:pPr>
              <w:pageBreakBefore w:val="0"/>
              <w:numPr>
                <w:ilvl w:val="0"/>
                <w:numId w:val="2"/>
              </w:numPr>
              <w:tabs>
                <w:tab w:val="left" w:pos="1276"/>
              </w:tabs>
              <w:jc w:val="both"/>
              <w:rPr/>
            </w:pPr>
            <w:r w:rsidDel="00000000" w:rsidR="00000000" w:rsidRPr="00000000">
              <w:rPr>
                <w:rtl w:val="0"/>
              </w:rPr>
              <w:t xml:space="preserve">          Lecture: Regional geography: Northern Europe</w:t>
            </w:r>
          </w:p>
          <w:p w:rsidR="00000000" w:rsidDel="00000000" w:rsidP="00000000" w:rsidRDefault="00000000" w:rsidRPr="00000000" w14:paraId="0000004E">
            <w:pPr>
              <w:pageBreakBefore w:val="0"/>
              <w:tabs>
                <w:tab w:val="left" w:pos="1276"/>
              </w:tabs>
              <w:jc w:val="both"/>
              <w:rPr/>
            </w:pPr>
            <w:r w:rsidDel="00000000" w:rsidR="00000000" w:rsidRPr="00000000">
              <w:rPr>
                <w:rtl w:val="0"/>
              </w:rPr>
              <w:t xml:space="preserve">                         Practice: Topography of the Northern European countries</w:t>
            </w:r>
          </w:p>
          <w:p w:rsidR="00000000" w:rsidDel="00000000" w:rsidP="00000000" w:rsidRDefault="00000000" w:rsidRPr="00000000" w14:paraId="0000004F">
            <w:pPr>
              <w:pageBreakBefore w:val="0"/>
              <w:tabs>
                <w:tab w:val="left" w:pos="1276"/>
              </w:tabs>
              <w:jc w:val="both"/>
              <w:rPr/>
            </w:pPr>
            <w:r w:rsidDel="00000000" w:rsidR="00000000" w:rsidRPr="00000000">
              <w:rPr>
                <w:rtl w:val="0"/>
              </w:rPr>
              <w:t xml:space="preserve">      Week 10     Lecture: Regional geography: Southern Europe</w:t>
            </w:r>
          </w:p>
          <w:p w:rsidR="00000000" w:rsidDel="00000000" w:rsidP="00000000" w:rsidRDefault="00000000" w:rsidRPr="00000000" w14:paraId="00000050">
            <w:pPr>
              <w:pageBreakBefore w:val="0"/>
              <w:tabs>
                <w:tab w:val="left" w:pos="1276"/>
              </w:tabs>
              <w:jc w:val="both"/>
              <w:rPr/>
            </w:pPr>
            <w:r w:rsidDel="00000000" w:rsidR="00000000" w:rsidRPr="00000000">
              <w:rPr>
                <w:rtl w:val="0"/>
              </w:rPr>
              <w:t xml:space="preserve">                         Practice: Topography of the Southern European countries</w:t>
            </w:r>
          </w:p>
          <w:p w:rsidR="00000000" w:rsidDel="00000000" w:rsidP="00000000" w:rsidRDefault="00000000" w:rsidRPr="00000000" w14:paraId="00000051">
            <w:pPr>
              <w:pageBreakBefore w:val="0"/>
              <w:tabs>
                <w:tab w:val="left" w:pos="1276"/>
              </w:tabs>
              <w:jc w:val="both"/>
              <w:rPr/>
            </w:pPr>
            <w:r w:rsidDel="00000000" w:rsidR="00000000" w:rsidRPr="00000000">
              <w:rPr>
                <w:rtl w:val="0"/>
              </w:rPr>
            </w:r>
          </w:p>
          <w:p w:rsidR="00000000" w:rsidDel="00000000" w:rsidP="00000000" w:rsidRDefault="00000000" w:rsidRPr="00000000" w14:paraId="00000052">
            <w:pPr>
              <w:pageBreakBefore w:val="0"/>
              <w:tabs>
                <w:tab w:val="left" w:pos="1276"/>
              </w:tabs>
              <w:jc w:val="both"/>
              <w:rPr/>
            </w:pPr>
            <w:r w:rsidDel="00000000" w:rsidR="00000000" w:rsidRPr="00000000">
              <w:rPr>
                <w:rtl w:val="0"/>
              </w:rPr>
              <w:t xml:space="preserve">Week 11           Lecture: Regional geography: Central  Europe</w:t>
            </w:r>
          </w:p>
          <w:p w:rsidR="00000000" w:rsidDel="00000000" w:rsidP="00000000" w:rsidRDefault="00000000" w:rsidRPr="00000000" w14:paraId="00000053">
            <w:pPr>
              <w:pageBreakBefore w:val="0"/>
              <w:tabs>
                <w:tab w:val="left" w:pos="1276"/>
              </w:tabs>
              <w:jc w:val="both"/>
              <w:rPr/>
            </w:pPr>
            <w:r w:rsidDel="00000000" w:rsidR="00000000" w:rsidRPr="00000000">
              <w:rPr>
                <w:rtl w:val="0"/>
              </w:rPr>
              <w:t xml:space="preserve">                         Practice: Topography of the Central European countries</w:t>
            </w:r>
          </w:p>
          <w:p w:rsidR="00000000" w:rsidDel="00000000" w:rsidP="00000000" w:rsidRDefault="00000000" w:rsidRPr="00000000" w14:paraId="00000054">
            <w:pPr>
              <w:pageBreakBefore w:val="0"/>
              <w:tabs>
                <w:tab w:val="left" w:pos="1276"/>
              </w:tabs>
              <w:jc w:val="both"/>
              <w:rPr/>
            </w:pPr>
            <w:r w:rsidDel="00000000" w:rsidR="00000000" w:rsidRPr="00000000">
              <w:rPr>
                <w:rtl w:val="0"/>
              </w:rPr>
              <w:t xml:space="preserve">Week 12           Lecture: Regional geography: Western Europe</w:t>
            </w:r>
          </w:p>
          <w:p w:rsidR="00000000" w:rsidDel="00000000" w:rsidP="00000000" w:rsidRDefault="00000000" w:rsidRPr="00000000" w14:paraId="00000055">
            <w:pPr>
              <w:pageBreakBefore w:val="0"/>
              <w:tabs>
                <w:tab w:val="left" w:pos="1276"/>
              </w:tabs>
              <w:jc w:val="both"/>
              <w:rPr/>
            </w:pPr>
            <w:r w:rsidDel="00000000" w:rsidR="00000000" w:rsidRPr="00000000">
              <w:rPr>
                <w:rtl w:val="0"/>
              </w:rPr>
              <w:t xml:space="preserve">                          Practice: Topography of the Western European countries</w:t>
            </w:r>
          </w:p>
          <w:p w:rsidR="00000000" w:rsidDel="00000000" w:rsidP="00000000" w:rsidRDefault="00000000" w:rsidRPr="00000000" w14:paraId="00000056">
            <w:pPr>
              <w:pageBreakBefore w:val="0"/>
              <w:tabs>
                <w:tab w:val="left" w:pos="1276"/>
              </w:tabs>
              <w:jc w:val="both"/>
              <w:rPr/>
            </w:pPr>
            <w:r w:rsidDel="00000000" w:rsidR="00000000" w:rsidRPr="00000000">
              <w:rPr>
                <w:rtl w:val="0"/>
              </w:rPr>
              <w:t xml:space="preserve">Week 13          Lecture: Regional geography: Eastern Europe and Russia</w:t>
            </w:r>
          </w:p>
          <w:p w:rsidR="00000000" w:rsidDel="00000000" w:rsidP="00000000" w:rsidRDefault="00000000" w:rsidRPr="00000000" w14:paraId="00000057">
            <w:pPr>
              <w:pageBreakBefore w:val="0"/>
              <w:tabs>
                <w:tab w:val="left" w:pos="1276"/>
              </w:tabs>
              <w:jc w:val="both"/>
              <w:rPr/>
            </w:pPr>
            <w:r w:rsidDel="00000000" w:rsidR="00000000" w:rsidRPr="00000000">
              <w:rPr>
                <w:rtl w:val="0"/>
              </w:rPr>
              <w:t xml:space="preserve">                         Practice: Topography of the Eastern European countries and Russia</w:t>
            </w:r>
          </w:p>
          <w:p w:rsidR="00000000" w:rsidDel="00000000" w:rsidP="00000000" w:rsidRDefault="00000000" w:rsidRPr="00000000" w14:paraId="00000058">
            <w:pPr>
              <w:pageBreakBefore w:val="0"/>
              <w:tabs>
                <w:tab w:val="left" w:pos="1276"/>
              </w:tabs>
              <w:jc w:val="both"/>
              <w:rPr/>
            </w:pPr>
            <w:r w:rsidDel="00000000" w:rsidR="00000000" w:rsidRPr="00000000">
              <w:rPr>
                <w:rtl w:val="0"/>
              </w:rPr>
              <w:t xml:space="preserve">Week 14           Final exam</w:t>
            </w:r>
            <w:r w:rsidDel="00000000" w:rsidR="00000000" w:rsidRPr="00000000">
              <w:rPr>
                <w:rtl w:val="0"/>
              </w:rPr>
            </w:r>
          </w:p>
          <w:p w:rsidR="00000000" w:rsidDel="00000000" w:rsidP="00000000" w:rsidRDefault="00000000" w:rsidRPr="00000000" w14:paraId="00000059">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E">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F">
            <w:pPr>
              <w:pageBreakBefore w:val="0"/>
              <w:jc w:val="both"/>
              <w:rPr/>
            </w:pPr>
            <w:r w:rsidDel="00000000" w:rsidR="00000000" w:rsidRPr="00000000">
              <w:rPr>
                <w:rtl w:val="0"/>
              </w:rPr>
              <w:t xml:space="preserve">One midterm and one final exam, weighed as 40 and 60%, respectively. The final exam covers all topics of the semester. Practice:</w:t>
            </w:r>
          </w:p>
          <w:p w:rsidR="00000000" w:rsidDel="00000000" w:rsidP="00000000" w:rsidRDefault="00000000" w:rsidRPr="00000000" w14:paraId="00000060">
            <w:pPr>
              <w:pageBreakBefore w:val="0"/>
              <w:ind w:left="-7.999999999999972" w:firstLine="0"/>
              <w:rPr/>
            </w:pPr>
            <w:r w:rsidDel="00000000" w:rsidR="00000000" w:rsidRPr="00000000">
              <w:rPr>
                <w:rtl w:val="0"/>
              </w:rPr>
              <w:t xml:space="preserve">Participation is compulsory, absence is allowed on maximum three occasions.</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5">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6">
            <w:pPr>
              <w:pageBreakBefore w:val="0"/>
              <w:ind w:left="142" w:firstLine="0"/>
              <w:rPr/>
            </w:pPr>
            <w:r w:rsidDel="00000000" w:rsidR="00000000" w:rsidRPr="00000000">
              <w:rPr>
                <w:rtl w:val="0"/>
              </w:rPr>
              <w:t xml:space="preserve">Grading policy</w:t>
              <w:br w:type="textWrapping"/>
              <w:t xml:space="preserve">One midterm and one final exam, weighed as 40 and 60%, respectively. The final exam covers all topics of the semester.</w:t>
            </w:r>
          </w:p>
          <w:p w:rsidR="00000000" w:rsidDel="00000000" w:rsidP="00000000" w:rsidRDefault="00000000" w:rsidRPr="00000000" w14:paraId="00000067">
            <w:pPr>
              <w:pageBreakBefore w:val="0"/>
              <w:ind w:left="142" w:firstLine="0"/>
              <w:rPr/>
            </w:pPr>
            <w:r w:rsidDel="00000000" w:rsidR="00000000" w:rsidRPr="00000000">
              <w:rPr>
                <w:rtl w:val="0"/>
              </w:rPr>
              <w:t xml:space="preserve">            50–59 % – 2</w:t>
            </w:r>
          </w:p>
          <w:p w:rsidR="00000000" w:rsidDel="00000000" w:rsidP="00000000" w:rsidRDefault="00000000" w:rsidRPr="00000000" w14:paraId="00000068">
            <w:pPr>
              <w:pageBreakBefore w:val="0"/>
              <w:ind w:left="-7.999999999999972" w:firstLine="0"/>
              <w:rPr/>
            </w:pPr>
            <w:r w:rsidDel="00000000" w:rsidR="00000000" w:rsidRPr="00000000">
              <w:rPr>
                <w:rtl w:val="0"/>
              </w:rPr>
              <w:t xml:space="preserve">•     </w:t>
              <w:tab/>
              <w:t xml:space="preserve">60–74 % – 3</w:t>
            </w:r>
          </w:p>
          <w:p w:rsidR="00000000" w:rsidDel="00000000" w:rsidP="00000000" w:rsidRDefault="00000000" w:rsidRPr="00000000" w14:paraId="00000069">
            <w:pPr>
              <w:pageBreakBefore w:val="0"/>
              <w:ind w:left="-7.999999999999972" w:firstLine="0"/>
              <w:rPr/>
            </w:pPr>
            <w:r w:rsidDel="00000000" w:rsidR="00000000" w:rsidRPr="00000000">
              <w:rPr>
                <w:rtl w:val="0"/>
              </w:rPr>
              <w:t xml:space="preserve">•     </w:t>
              <w:tab/>
              <w:t xml:space="preserve">75–84 % – 4</w:t>
            </w:r>
          </w:p>
          <w:p w:rsidR="00000000" w:rsidDel="00000000" w:rsidP="00000000" w:rsidRDefault="00000000" w:rsidRPr="00000000" w14:paraId="0000006A">
            <w:pPr>
              <w:pageBreakBefore w:val="0"/>
              <w:ind w:left="-7.999999999999972" w:firstLine="0"/>
              <w:rPr/>
            </w:pPr>
            <w:r w:rsidDel="00000000" w:rsidR="00000000" w:rsidRPr="00000000">
              <w:rPr>
                <w:rtl w:val="0"/>
              </w:rPr>
              <w:t xml:space="preserve">•       </w:t>
              <w:tab/>
              <w:t xml:space="preserve">85–100 % – 5</w:t>
            </w:r>
          </w:p>
        </w:tc>
      </w:tr>
      <w:tr>
        <w:trPr>
          <w:cantSplit w:val="0"/>
          <w:tblHeader w:val="0"/>
        </w:trPr>
        <w:tc>
          <w:tcPr>
            <w:gridSpan w:val="5"/>
            <w:tcMar>
              <w:top w:w="57.0" w:type="dxa"/>
              <w:bottom w:w="57.0" w:type="dxa"/>
            </w:tcM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0">
            <w:pPr>
              <w:pageBreakBefore w:val="0"/>
              <w:numPr>
                <w:ilvl w:val="0"/>
                <w:numId w:val="1"/>
              </w:numPr>
              <w:ind w:left="720" w:hanging="360"/>
              <w:rPr/>
            </w:pPr>
            <w:r w:rsidDel="00000000" w:rsidR="00000000" w:rsidRPr="00000000">
              <w:rPr>
                <w:rtl w:val="0"/>
              </w:rPr>
              <w:t xml:space="preserve">GREGORY, K.J. (2010). </w:t>
            </w:r>
            <w:r w:rsidDel="00000000" w:rsidR="00000000" w:rsidRPr="00000000">
              <w:rPr>
                <w:i w:val="1"/>
                <w:rtl w:val="0"/>
              </w:rPr>
              <w:t xml:space="preserve">The Earth’s Land Surface</w:t>
            </w:r>
            <w:r w:rsidDel="00000000" w:rsidR="00000000" w:rsidRPr="00000000">
              <w:rPr>
                <w:rtl w:val="0"/>
              </w:rPr>
              <w:t xml:space="preserve">. SAGE Publications, London. 360 p. ISBN-13: 978-1848606203</w:t>
            </w:r>
          </w:p>
          <w:p w:rsidR="00000000" w:rsidDel="00000000" w:rsidP="00000000" w:rsidRDefault="00000000" w:rsidRPr="00000000" w14:paraId="00000071">
            <w:pPr>
              <w:pageBreakBefore w:val="0"/>
              <w:numPr>
                <w:ilvl w:val="0"/>
                <w:numId w:val="1"/>
              </w:numPr>
              <w:ind w:left="720" w:hanging="360"/>
              <w:rPr>
                <w:u w:val="none"/>
              </w:rPr>
            </w:pPr>
            <w:r w:rsidDel="00000000" w:rsidR="00000000" w:rsidRPr="00000000">
              <w:rPr>
                <w:rtl w:val="0"/>
              </w:rPr>
              <w:t xml:space="preserve">BERENTSEN, W.H.(1990) </w:t>
            </w:r>
            <w:r w:rsidDel="00000000" w:rsidR="00000000" w:rsidRPr="00000000">
              <w:rPr>
                <w:i w:val="1"/>
                <w:rtl w:val="0"/>
              </w:rPr>
              <w:t xml:space="preserve">Contemporary Europe geographic analysis 662 p.</w:t>
            </w:r>
            <w:r w:rsidDel="00000000" w:rsidR="00000000" w:rsidRPr="00000000">
              <w:rPr>
                <w:rtl w:val="0"/>
              </w:rPr>
              <w:t xml:space="preserve"> ISBN-0-471-58336-7</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B">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C">
            <w:pPr>
              <w:pageBreakBefore w:val="0"/>
              <w:jc w:val="center"/>
              <w:rPr/>
            </w:pPr>
            <w:r w:rsidDel="00000000" w:rsidR="00000000" w:rsidRPr="00000000">
              <w:rPr>
                <w:rtl w:val="0"/>
              </w:rPr>
              <w:t xml:space="preserve">31 January, 2018</w:t>
            </w:r>
          </w:p>
        </w:tc>
        <w:tc>
          <w:tcPr>
            <w:vMerge w:val="restart"/>
            <w:tcMar>
              <w:top w:w="57.0" w:type="dxa"/>
              <w:bottom w:w="57.0" w:type="dxa"/>
            </w:tcMar>
            <w:vAlign w:val="center"/>
          </w:tcPr>
          <w:p w:rsidR="00000000" w:rsidDel="00000000" w:rsidP="00000000" w:rsidRDefault="00000000" w:rsidRPr="00000000" w14:paraId="0000007D">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E">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2">
            <w:pPr>
              <w:pageBreakBefore w:val="0"/>
              <w:rPr>
                <w:b w:val="1"/>
              </w:rPr>
            </w:pP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5">
            <w:pPr>
              <w:pageBreakBefore w:val="0"/>
              <w:jc w:val="center"/>
              <w:rPr/>
            </w:pPr>
            <w:r w:rsidDel="00000000" w:rsidR="00000000" w:rsidRPr="00000000">
              <w:rPr>
                <w:rtl w:val="0"/>
              </w:rPr>
              <w:t xml:space="preserve">László NAGYVÁRADI PhD</w:t>
            </w:r>
          </w:p>
          <w:p w:rsidR="00000000" w:rsidDel="00000000" w:rsidP="00000000" w:rsidRDefault="00000000" w:rsidRPr="00000000" w14:paraId="00000086">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8">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B">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D">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0">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2">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4">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6">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