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Astronomy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ENAFOLNA0701</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László NAGYVÁRADI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Cartography and Geoinformatics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László NAGYVÁRADI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To know the fundamentals of the astronomy: The history of the development of astronomy, the basics of the astronomical geography: like orientation and navigation star constellation. Coordinate systems  About the solar system: planet Earth shape, size, and movements, terrestrial and Jovian planets characteristics, the origin and the development of Solar System, small celestial bodies, moons , asteroids, comets. The Sun as a star basics about other stars, galaxies. The origin of the Universe.</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w:t>
              <w:tab/>
              <w:t xml:space="preserve">Introduction in to astronomy, the history of the observations, the great astronomers</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2</w:t>
              <w:tab/>
              <w:t xml:space="preserve">Navigation, orientation, the coordinate systems.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3</w:t>
              <w:tab/>
              <w:t xml:space="preserve">Spherical astronomy lecture in the  Plenatarium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4</w:t>
              <w:tab/>
              <w:t xml:space="preserve">The Earth as a planet and it’s movements geographical conclusions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5</w:t>
              <w:tab/>
              <w:t xml:space="preserve">The Moon and it’s effects to the Earth</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6</w:t>
              <w:tab/>
              <w:t xml:space="preserve">The origin of the Solar system.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7</w:t>
              <w:tab/>
              <w:t xml:space="preserve">Mercury and Venus and the Mars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8</w:t>
              <w:tab/>
              <w:t xml:space="preserve">Jovian planet The moons of the Jovian planets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9</w:t>
              <w:tab/>
              <w:t xml:space="preserve">Dwarf planets, Asteroids,Meteorites, Comets Exoplanets</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10</w:t>
              <w:tab/>
              <w:t xml:space="preserve">Astrophysical basics: the life of the stars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11</w:t>
              <w:tab/>
              <w:t xml:space="preserve">Galaxies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12</w:t>
              <w:tab/>
              <w:t xml:space="preserve">The origin of the universe-theories</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13</w:t>
              <w:tab/>
              <w:t xml:space="preserve">Writing exam</w:t>
            </w:r>
            <w:r w:rsidDel="00000000" w:rsidR="00000000" w:rsidRPr="00000000">
              <w:rPr>
                <w:rtl w:val="0"/>
              </w:rPr>
            </w:r>
          </w:p>
          <w:p w:rsidR="00000000" w:rsidDel="00000000" w:rsidP="00000000" w:rsidRDefault="00000000" w:rsidRPr="00000000" w14:paraId="00000053">
            <w:pPr>
              <w:pageBreakBefore w:val="0"/>
              <w:tabs>
                <w:tab w:val="left" w:pos="1276"/>
              </w:tabs>
              <w:ind w:left="283.9999999999999" w:firstLine="0"/>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8">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E">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5F">
            <w:pPr>
              <w:pageBreakBefore w:val="0"/>
              <w:ind w:left="142" w:firstLine="0"/>
              <w:rPr/>
            </w:pPr>
            <w:r w:rsidDel="00000000" w:rsidR="00000000" w:rsidRPr="00000000">
              <w:rPr>
                <w:rtl w:val="0"/>
              </w:rPr>
              <w:t xml:space="preserve">Grading percentages may vary according to the position of the Gauss curve, but the approximate ranges are the followings: </w:t>
            </w:r>
          </w:p>
          <w:p w:rsidR="00000000" w:rsidDel="00000000" w:rsidP="00000000" w:rsidRDefault="00000000" w:rsidRPr="00000000" w14:paraId="00000060">
            <w:pPr>
              <w:pageBreakBefore w:val="0"/>
              <w:ind w:left="142" w:firstLine="0"/>
              <w:rPr/>
            </w:pPr>
            <w:r w:rsidDel="00000000" w:rsidR="00000000" w:rsidRPr="00000000">
              <w:rPr>
                <w:rtl w:val="0"/>
              </w:rPr>
              <w:t xml:space="preserve">just less than 50% = 1</w:t>
            </w:r>
          </w:p>
          <w:p w:rsidR="00000000" w:rsidDel="00000000" w:rsidP="00000000" w:rsidRDefault="00000000" w:rsidRPr="00000000" w14:paraId="00000061">
            <w:pPr>
              <w:pageBreakBefore w:val="0"/>
              <w:ind w:left="142" w:firstLine="0"/>
              <w:rPr/>
            </w:pPr>
            <w:r w:rsidDel="00000000" w:rsidR="00000000" w:rsidRPr="00000000">
              <w:rPr>
                <w:rtl w:val="0"/>
              </w:rPr>
              <w:t xml:space="preserve">50 to 64.99% = 2</w:t>
            </w:r>
          </w:p>
          <w:p w:rsidR="00000000" w:rsidDel="00000000" w:rsidP="00000000" w:rsidRDefault="00000000" w:rsidRPr="00000000" w14:paraId="00000062">
            <w:pPr>
              <w:pageBreakBefore w:val="0"/>
              <w:ind w:left="142" w:firstLine="0"/>
              <w:rPr/>
            </w:pPr>
            <w:r w:rsidDel="00000000" w:rsidR="00000000" w:rsidRPr="00000000">
              <w:rPr>
                <w:rtl w:val="0"/>
              </w:rPr>
              <w:t xml:space="preserve">65 to 74.99% = 3</w:t>
            </w:r>
          </w:p>
          <w:p w:rsidR="00000000" w:rsidDel="00000000" w:rsidP="00000000" w:rsidRDefault="00000000" w:rsidRPr="00000000" w14:paraId="00000063">
            <w:pPr>
              <w:pageBreakBefore w:val="0"/>
              <w:ind w:left="142" w:firstLine="0"/>
              <w:rPr/>
            </w:pPr>
            <w:r w:rsidDel="00000000" w:rsidR="00000000" w:rsidRPr="00000000">
              <w:rPr>
                <w:rtl w:val="0"/>
              </w:rPr>
              <w:t xml:space="preserve">75 to 84.99% = 4</w:t>
            </w:r>
          </w:p>
          <w:p w:rsidR="00000000" w:rsidDel="00000000" w:rsidP="00000000" w:rsidRDefault="00000000" w:rsidRPr="00000000" w14:paraId="00000064">
            <w:pPr>
              <w:pageBreakBefore w:val="0"/>
              <w:ind w:left="142" w:firstLine="0"/>
              <w:rPr/>
            </w:pPr>
            <w:r w:rsidDel="00000000" w:rsidR="00000000" w:rsidRPr="00000000">
              <w:rPr>
                <w:rtl w:val="0"/>
              </w:rPr>
              <w:t xml:space="preserve">85+% = 5</w:t>
            </w:r>
          </w:p>
          <w:p w:rsidR="00000000" w:rsidDel="00000000" w:rsidP="00000000" w:rsidRDefault="00000000" w:rsidRPr="00000000" w14:paraId="00000065">
            <w:pPr>
              <w:pageBreakBefore w:val="0"/>
              <w:ind w:left="142" w:firstLine="0"/>
              <w:rPr/>
            </w:pPr>
            <w:r w:rsidDel="00000000" w:rsidR="00000000" w:rsidRPr="00000000">
              <w:rPr>
                <w:rtl w:val="0"/>
              </w:rPr>
              <w:t xml:space="preserve">Attendance at all activities will be monitored. Students who fail to attend the activities, or to complete the summative or formative assessment specified above, will not gain the credit for the course.</w:t>
            </w:r>
          </w:p>
        </w:tc>
      </w:tr>
      <w:tr>
        <w:trPr>
          <w:cantSplit w:val="0"/>
          <w:tblHeader w:val="0"/>
        </w:trPr>
        <w:tc>
          <w:tcPr>
            <w:gridSpan w:val="5"/>
            <w:tcMar>
              <w:top w:w="57.0" w:type="dxa"/>
              <w:bottom w:w="57.0" w:type="dxa"/>
            </w:tcMa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6B">
            <w:pPr>
              <w:pageBreakBefore w:val="0"/>
              <w:numPr>
                <w:ilvl w:val="0"/>
                <w:numId w:val="1"/>
              </w:numPr>
              <w:ind w:left="720" w:hanging="360"/>
              <w:rPr/>
            </w:pPr>
            <w:r w:rsidDel="00000000" w:rsidR="00000000" w:rsidRPr="00000000">
              <w:rPr>
                <w:rtl w:val="0"/>
              </w:rPr>
              <w:t xml:space="preserve">PARAMON’S ED. TEAM  2002: Essential atlas of Astronomy, Barron’s New York, 96 p.</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5">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6">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77">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78">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7C">
            <w:pPr>
              <w:pageBreakBefore w:val="0"/>
              <w:rPr>
                <w:b w:val="1"/>
              </w:rPr>
            </w:pPr>
            <w:r w:rsidDel="00000000" w:rsidR="00000000" w:rsidRPr="00000000">
              <w:rPr>
                <w:rtl w:val="0"/>
              </w:rPr>
            </w:r>
          </w:p>
          <w:p w:rsidR="00000000" w:rsidDel="00000000" w:rsidP="00000000" w:rsidRDefault="00000000" w:rsidRPr="00000000" w14:paraId="0000007D">
            <w:pPr>
              <w:pageBreakBefore w:val="0"/>
              <w:rPr/>
            </w:pPr>
            <w:r w:rsidDel="00000000" w:rsidR="00000000" w:rsidRPr="00000000">
              <w:rPr>
                <w:rtl w:val="0"/>
              </w:rPr>
            </w:r>
          </w:p>
          <w:p w:rsidR="00000000" w:rsidDel="00000000" w:rsidP="00000000" w:rsidRDefault="00000000" w:rsidRPr="00000000" w14:paraId="0000007E">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7F">
            <w:pPr>
              <w:pageBreakBefore w:val="0"/>
              <w:jc w:val="center"/>
              <w:rPr/>
            </w:pPr>
            <w:r w:rsidDel="00000000" w:rsidR="00000000" w:rsidRPr="00000000">
              <w:rPr>
                <w:rtl w:val="0"/>
              </w:rPr>
              <w:t xml:space="preserve">László NAGYVÁRADI PhD</w:t>
            </w:r>
          </w:p>
          <w:p w:rsidR="00000000" w:rsidDel="00000000" w:rsidP="00000000" w:rsidRDefault="00000000" w:rsidRPr="00000000" w14:paraId="00000080">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2">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5">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7">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8A">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8C">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8E">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8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0">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