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232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left w:w="65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24"/>
      </w:tblGrid>
      <w:tr w:rsidR="00924153">
        <w:tc>
          <w:tcPr>
            <w:tcW w:w="92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924153" w:rsidRDefault="00D30622">
            <w:pPr>
              <w:rPr>
                <w:lang w:val="en-GB"/>
              </w:rPr>
            </w:pPr>
            <w:bookmarkStart w:id="0" w:name="_GoBack"/>
            <w:bookmarkEnd w:id="0"/>
            <w:r>
              <w:rPr>
                <w:rStyle w:val="Szvegtrzs2Char"/>
                <w:lang w:val="en-GB"/>
              </w:rPr>
              <w:t>1. Course title:</w:t>
            </w:r>
            <w:r>
              <w:rPr>
                <w:szCs w:val="20"/>
                <w:lang w:val="en-GB"/>
              </w:rPr>
              <w:t xml:space="preserve"> General toxicology</w:t>
            </w:r>
          </w:p>
        </w:tc>
      </w:tr>
      <w:tr w:rsidR="00924153"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24153" w:rsidRDefault="00924153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924153"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65" w:type="dxa"/>
              <w:bottom w:w="0" w:type="dxa"/>
            </w:tcMar>
            <w:vAlign w:val="center"/>
          </w:tcPr>
          <w:p w:rsidR="00924153" w:rsidRDefault="00D30622">
            <w:pPr>
              <w:pStyle w:val="lfej"/>
            </w:pPr>
            <w:r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5" w:type="dxa"/>
              <w:bottom w:w="0" w:type="dxa"/>
            </w:tcMar>
            <w:vAlign w:val="center"/>
          </w:tcPr>
          <w:p w:rsidR="00924153" w:rsidRDefault="00D30622">
            <w:pPr>
              <w:pStyle w:val="lfej"/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>3. Type (lecture, practice etc.):</w:t>
            </w:r>
            <w:r>
              <w:rPr>
                <w:lang w:val="en-GB"/>
              </w:rPr>
              <w:t xml:space="preserve"> seminar</w:t>
            </w:r>
          </w:p>
        </w:tc>
      </w:tr>
      <w:tr w:rsidR="00924153"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24153" w:rsidRDefault="00924153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924153"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65" w:type="dxa"/>
              <w:bottom w:w="0" w:type="dxa"/>
            </w:tcMar>
            <w:vAlign w:val="center"/>
          </w:tcPr>
          <w:p w:rsidR="00924153" w:rsidRDefault="00D30622">
            <w:pPr>
              <w:pStyle w:val="lfej"/>
              <w:rPr>
                <w:rStyle w:val="Szvegtrzs2Char"/>
                <w:lang w:val="en-GB"/>
              </w:rPr>
            </w:pPr>
            <w:r>
              <w:rPr>
                <w:rStyle w:val="Szvegtrzs2Char"/>
                <w:lang w:val="en-GB"/>
              </w:rPr>
              <w:t>4. Contact hours:</w:t>
            </w:r>
            <w:r>
              <w:rPr>
                <w:rStyle w:val="Szvegtrzs2Char"/>
                <w:b w:val="0"/>
                <w:lang w:val="en-GB"/>
              </w:rPr>
              <w:t xml:space="preserve"> 3</w:t>
            </w:r>
          </w:p>
        </w:tc>
        <w:tc>
          <w:tcPr>
            <w:tcW w:w="46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5" w:type="dxa"/>
              <w:bottom w:w="0" w:type="dxa"/>
            </w:tcMar>
            <w:vAlign w:val="center"/>
          </w:tcPr>
          <w:p w:rsidR="00924153" w:rsidRDefault="00D30622">
            <w:pPr>
              <w:pStyle w:val="lfej"/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>5. Number of credits (ECTS):</w:t>
            </w:r>
            <w:r>
              <w:rPr>
                <w:bCs/>
                <w:lang w:val="en-GB"/>
              </w:rPr>
              <w:t xml:space="preserve"> 4</w:t>
            </w:r>
          </w:p>
        </w:tc>
      </w:tr>
      <w:tr w:rsidR="00924153"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24153" w:rsidRDefault="00924153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924153">
        <w:tc>
          <w:tcPr>
            <w:tcW w:w="92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924153" w:rsidRDefault="00D30622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>6. Preliminary conditions (max. 3): none</w:t>
            </w:r>
          </w:p>
        </w:tc>
      </w:tr>
      <w:tr w:rsidR="00924153"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24153" w:rsidRDefault="00924153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924153">
        <w:tc>
          <w:tcPr>
            <w:tcW w:w="92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924153" w:rsidRDefault="00D30622">
            <w:pPr>
              <w:pStyle w:val="lfej"/>
            </w:pPr>
            <w:r>
              <w:rPr>
                <w:rStyle w:val="Szvegtrzs2Char"/>
                <w:lang w:val="en-GB"/>
              </w:rPr>
              <w:t>7. Announced:</w:t>
            </w:r>
            <w:r>
              <w:rPr>
                <w:b/>
                <w:bCs/>
                <w:lang w:val="en-GB"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2C798D">
              <w:fldChar w:fldCharType="separate"/>
            </w:r>
            <w:r>
              <w:fldChar w:fldCharType="end"/>
            </w:r>
            <w:bookmarkStart w:id="1" w:name="__Fieldmark__0_3229360577"/>
            <w:bookmarkStart w:id="2" w:name="__Fieldmark__46_1016521800"/>
            <w:bookmarkEnd w:id="1"/>
            <w:bookmarkEnd w:id="2"/>
            <w:r>
              <w:rPr>
                <w:lang w:val="en-GB"/>
              </w:rPr>
              <w:t xml:space="preserve">fall semester,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instrText>FORMCHECKBOX</w:instrText>
            </w:r>
            <w:r w:rsidR="002C798D">
              <w:fldChar w:fldCharType="separate"/>
            </w:r>
            <w:r>
              <w:fldChar w:fldCharType="end"/>
            </w:r>
            <w:bookmarkStart w:id="3" w:name="__Fieldmark__1_3229360577"/>
            <w:bookmarkEnd w:id="3"/>
            <w:r>
              <w:rPr>
                <w:lang w:val="en-GB"/>
              </w:rPr>
              <w:t xml:space="preserve">spring semester,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 w:rsidR="002C798D">
              <w:fldChar w:fldCharType="separate"/>
            </w:r>
            <w:r>
              <w:fldChar w:fldCharType="end"/>
            </w:r>
            <w:bookmarkStart w:id="4" w:name="__Fieldmark__2_3229360577"/>
            <w:bookmarkEnd w:id="4"/>
            <w:r>
              <w:rPr>
                <w:lang w:val="en-GB"/>
              </w:rPr>
              <w:t xml:space="preserve">both </w:t>
            </w:r>
          </w:p>
        </w:tc>
      </w:tr>
      <w:tr w:rsidR="00924153"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24153" w:rsidRDefault="00924153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924153">
        <w:tc>
          <w:tcPr>
            <w:tcW w:w="92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924153" w:rsidRDefault="00D30622">
            <w:pPr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>8. Limit for participants:</w:t>
            </w:r>
            <w:r>
              <w:rPr>
                <w:lang w:val="en-GB"/>
              </w:rPr>
              <w:t xml:space="preserve"> </w:t>
            </w:r>
          </w:p>
        </w:tc>
      </w:tr>
      <w:tr w:rsidR="00924153"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24153" w:rsidRDefault="00924153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924153">
        <w:tc>
          <w:tcPr>
            <w:tcW w:w="92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924153" w:rsidRDefault="00D30622">
            <w:pPr>
              <w:pStyle w:val="lfej"/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>10. Responsible teacher (faculty, institute and department):</w:t>
            </w:r>
            <w:r>
              <w:rPr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lang w:val="en-GB"/>
              </w:rPr>
              <w:t>Gábor</w:t>
            </w:r>
            <w:proofErr w:type="spellEnd"/>
            <w:r>
              <w:rPr>
                <w:b/>
                <w:bCs/>
                <w:lang w:val="en-GB"/>
              </w:rPr>
              <w:t xml:space="preserve"> Papp Ph.D. (</w:t>
            </w:r>
            <w:r w:rsidR="00307406">
              <w:rPr>
                <w:b/>
                <w:bCs/>
                <w:lang w:val="en-GB"/>
              </w:rPr>
              <w:t>Fa</w:t>
            </w:r>
            <w:r>
              <w:rPr>
                <w:b/>
                <w:bCs/>
                <w:lang w:val="en-GB"/>
              </w:rPr>
              <w:t>culty of Sciences, Institute of Biology, General and Environmental Microbiology)</w:t>
            </w:r>
          </w:p>
          <w:p w:rsidR="00924153" w:rsidRDefault="00924153">
            <w:pPr>
              <w:pStyle w:val="lfej"/>
              <w:ind w:left="708"/>
              <w:rPr>
                <w:lang w:val="en-GB"/>
              </w:rPr>
            </w:pPr>
          </w:p>
        </w:tc>
      </w:tr>
      <w:tr w:rsidR="00924153"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24153" w:rsidRDefault="00924153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924153"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65" w:type="dxa"/>
              <w:bottom w:w="0" w:type="dxa"/>
            </w:tcMar>
            <w:vAlign w:val="center"/>
          </w:tcPr>
          <w:p w:rsidR="00924153" w:rsidRDefault="00D30622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65" w:type="dxa"/>
              <w:bottom w:w="0" w:type="dxa"/>
            </w:tcMar>
            <w:vAlign w:val="center"/>
          </w:tcPr>
          <w:p w:rsidR="00924153" w:rsidRDefault="00D30622">
            <w:pPr>
              <w:pStyle w:val="lfej"/>
              <w:rPr>
                <w:lang w:val="en-GB"/>
              </w:rPr>
            </w:pPr>
            <w:proofErr w:type="spellStart"/>
            <w:r>
              <w:rPr>
                <w:lang w:val="en-GB"/>
              </w:rPr>
              <w:t>Gábor</w:t>
            </w:r>
            <w:proofErr w:type="spellEnd"/>
            <w:r>
              <w:rPr>
                <w:lang w:val="en-GB"/>
              </w:rPr>
              <w:t xml:space="preserve"> Papp </w:t>
            </w:r>
            <w:r w:rsidR="0090557D">
              <w:rPr>
                <w:lang w:val="en-GB"/>
              </w:rPr>
              <w:t>Ph.D.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5" w:type="dxa"/>
              <w:bottom w:w="0" w:type="dxa"/>
            </w:tcMar>
            <w:vAlign w:val="center"/>
          </w:tcPr>
          <w:p w:rsidR="00924153" w:rsidRDefault="00D30622">
            <w:pPr>
              <w:pStyle w:val="lfej"/>
              <w:jc w:val="center"/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 w:rsidR="00924153"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65" w:type="dxa"/>
              <w:bottom w:w="0" w:type="dxa"/>
            </w:tcMar>
            <w:vAlign w:val="center"/>
          </w:tcPr>
          <w:p w:rsidR="00924153" w:rsidRDefault="00924153">
            <w:pPr>
              <w:pStyle w:val="lfej"/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65" w:type="dxa"/>
              <w:bottom w:w="0" w:type="dxa"/>
            </w:tcMar>
            <w:vAlign w:val="center"/>
          </w:tcPr>
          <w:p w:rsidR="00924153" w:rsidRDefault="00924153">
            <w:pPr>
              <w:pStyle w:val="lfej"/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5" w:type="dxa"/>
              <w:bottom w:w="0" w:type="dxa"/>
            </w:tcMar>
            <w:vAlign w:val="center"/>
          </w:tcPr>
          <w:p w:rsidR="00924153" w:rsidRDefault="00924153">
            <w:pPr>
              <w:pStyle w:val="lfej"/>
              <w:snapToGrid w:val="0"/>
              <w:jc w:val="center"/>
              <w:rPr>
                <w:lang w:val="en-GB"/>
              </w:rPr>
            </w:pPr>
          </w:p>
        </w:tc>
      </w:tr>
      <w:tr w:rsidR="00924153"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65" w:type="dxa"/>
              <w:bottom w:w="0" w:type="dxa"/>
            </w:tcMar>
            <w:vAlign w:val="center"/>
          </w:tcPr>
          <w:p w:rsidR="00924153" w:rsidRDefault="00924153">
            <w:pPr>
              <w:pStyle w:val="lfej"/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65" w:type="dxa"/>
              <w:bottom w:w="0" w:type="dxa"/>
            </w:tcMar>
            <w:vAlign w:val="center"/>
          </w:tcPr>
          <w:p w:rsidR="00924153" w:rsidRDefault="00924153">
            <w:pPr>
              <w:pStyle w:val="lfej"/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5" w:type="dxa"/>
              <w:bottom w:w="0" w:type="dxa"/>
            </w:tcMar>
            <w:vAlign w:val="center"/>
          </w:tcPr>
          <w:p w:rsidR="00924153" w:rsidRDefault="00924153">
            <w:pPr>
              <w:pStyle w:val="lfej"/>
              <w:snapToGrid w:val="0"/>
              <w:jc w:val="center"/>
              <w:rPr>
                <w:lang w:val="en-GB"/>
              </w:rPr>
            </w:pPr>
          </w:p>
        </w:tc>
      </w:tr>
      <w:tr w:rsidR="00924153"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65" w:type="dxa"/>
              <w:bottom w:w="0" w:type="dxa"/>
            </w:tcMar>
            <w:vAlign w:val="center"/>
          </w:tcPr>
          <w:p w:rsidR="00924153" w:rsidRDefault="00924153">
            <w:pPr>
              <w:pStyle w:val="lfej"/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65" w:type="dxa"/>
              <w:bottom w:w="0" w:type="dxa"/>
            </w:tcMar>
            <w:vAlign w:val="center"/>
          </w:tcPr>
          <w:p w:rsidR="00924153" w:rsidRDefault="00924153">
            <w:pPr>
              <w:pStyle w:val="lfej"/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5" w:type="dxa"/>
              <w:bottom w:w="0" w:type="dxa"/>
            </w:tcMar>
            <w:vAlign w:val="center"/>
          </w:tcPr>
          <w:p w:rsidR="00924153" w:rsidRDefault="00924153">
            <w:pPr>
              <w:pStyle w:val="lfej"/>
              <w:snapToGrid w:val="0"/>
              <w:jc w:val="center"/>
              <w:rPr>
                <w:lang w:val="en-GB"/>
              </w:rPr>
            </w:pPr>
          </w:p>
        </w:tc>
      </w:tr>
      <w:tr w:rsidR="00924153"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65" w:type="dxa"/>
              <w:bottom w:w="0" w:type="dxa"/>
            </w:tcMar>
            <w:vAlign w:val="center"/>
          </w:tcPr>
          <w:p w:rsidR="00924153" w:rsidRDefault="00924153">
            <w:pPr>
              <w:pStyle w:val="lfej"/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65" w:type="dxa"/>
              <w:bottom w:w="0" w:type="dxa"/>
            </w:tcMar>
            <w:vAlign w:val="center"/>
          </w:tcPr>
          <w:p w:rsidR="00924153" w:rsidRDefault="00924153">
            <w:pPr>
              <w:pStyle w:val="lfej"/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5" w:type="dxa"/>
              <w:bottom w:w="0" w:type="dxa"/>
            </w:tcMar>
            <w:vAlign w:val="center"/>
          </w:tcPr>
          <w:p w:rsidR="00924153" w:rsidRDefault="00924153">
            <w:pPr>
              <w:pStyle w:val="lfej"/>
              <w:snapToGrid w:val="0"/>
              <w:jc w:val="center"/>
              <w:rPr>
                <w:lang w:val="en-GB"/>
              </w:rPr>
            </w:pPr>
          </w:p>
        </w:tc>
      </w:tr>
      <w:tr w:rsidR="00924153"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24153" w:rsidRDefault="00924153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924153">
        <w:trPr>
          <w:cantSplit/>
        </w:trPr>
        <w:tc>
          <w:tcPr>
            <w:tcW w:w="92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924153" w:rsidRDefault="00D30622">
            <w:pPr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>12. Language:</w:t>
            </w:r>
            <w:r>
              <w:rPr>
                <w:b/>
                <w:bCs/>
                <w:szCs w:val="20"/>
                <w:lang w:val="en-GB"/>
              </w:rPr>
              <w:t xml:space="preserve"> </w:t>
            </w:r>
            <w:r>
              <w:rPr>
                <w:szCs w:val="20"/>
                <w:lang w:val="en-GB"/>
              </w:rPr>
              <w:t>English</w:t>
            </w:r>
          </w:p>
        </w:tc>
      </w:tr>
      <w:tr w:rsidR="00924153"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24153" w:rsidRDefault="00924153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924153">
        <w:tc>
          <w:tcPr>
            <w:tcW w:w="92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924153" w:rsidRDefault="00D30622">
            <w:pPr>
              <w:pStyle w:val="Szvegtrzs21"/>
              <w:rPr>
                <w:b w:val="0"/>
                <w:lang w:val="en-GB"/>
              </w:rPr>
            </w:pPr>
            <w:r>
              <w:rPr>
                <w:lang w:val="en-GB"/>
              </w:rPr>
              <w:t xml:space="preserve">13. Course objectives and/or learning outcomes: </w:t>
            </w:r>
          </w:p>
          <w:p w:rsidR="00924153" w:rsidRDefault="00D30622">
            <w:pPr>
              <w:pStyle w:val="Szvegtrzs21"/>
              <w:rPr>
                <w:b w:val="0"/>
                <w:lang w:val="en-GB"/>
              </w:rPr>
            </w:pPr>
            <w:r>
              <w:rPr>
                <w:lang w:val="en-GB"/>
              </w:rPr>
              <w:t>Objectives:</w:t>
            </w:r>
            <w:r>
              <w:rPr>
                <w:b w:val="0"/>
                <w:lang w:val="en-GB"/>
              </w:rPr>
              <w:t xml:space="preserve"> </w:t>
            </w:r>
            <w:r w:rsidR="00490E83">
              <w:rPr>
                <w:lang w:val="en"/>
              </w:rPr>
              <w:t>This</w:t>
            </w:r>
            <w:r>
              <w:rPr>
                <w:lang w:val="en"/>
              </w:rPr>
              <w:t xml:space="preserve"> </w:t>
            </w:r>
            <w:r w:rsidR="00821B2D">
              <w:rPr>
                <w:lang w:val="en"/>
              </w:rPr>
              <w:t xml:space="preserve">seminar </w:t>
            </w:r>
            <w:r w:rsidR="00490E83">
              <w:rPr>
                <w:lang w:val="en"/>
              </w:rPr>
              <w:t>cover</w:t>
            </w:r>
            <w:r>
              <w:rPr>
                <w:lang w:val="en"/>
              </w:rPr>
              <w:t xml:space="preserve">s </w:t>
            </w:r>
            <w:r w:rsidR="00490E83">
              <w:rPr>
                <w:lang w:val="en"/>
              </w:rPr>
              <w:t>the study</w:t>
            </w:r>
            <w:r>
              <w:rPr>
                <w:lang w:val="en"/>
              </w:rPr>
              <w:t xml:space="preserve"> of toxicology at infra- and supra-individual levels. It presents the toxic effects, the emerging symptoms and the possibilities of measuring the toxicity at the cellular and organ</w:t>
            </w:r>
            <w:r w:rsidR="00D62FA0">
              <w:rPr>
                <w:lang w:val="en"/>
              </w:rPr>
              <w:t>ic</w:t>
            </w:r>
            <w:r>
              <w:rPr>
                <w:lang w:val="en"/>
              </w:rPr>
              <w:t xml:space="preserve"> levels. Systematically introduces the important processes that affect the subject of environmental toxicology, the groups of contaminants and natural toxins.</w:t>
            </w:r>
          </w:p>
          <w:p w:rsidR="00924153" w:rsidRDefault="00D30622">
            <w:pPr>
              <w:pStyle w:val="Szvegtrzs21"/>
            </w:pPr>
            <w:r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</w:t>
            </w:r>
          </w:p>
          <w:p w:rsidR="00BF1B79" w:rsidRDefault="00BF1B79">
            <w:pPr>
              <w:pStyle w:val="Szvegtrzs21"/>
            </w:pPr>
            <w:proofErr w:type="spellStart"/>
            <w:r>
              <w:t>Upon</w:t>
            </w:r>
            <w:proofErr w:type="spellEnd"/>
            <w:r>
              <w:t xml:space="preserve"> </w:t>
            </w:r>
            <w:proofErr w:type="spellStart"/>
            <w:r>
              <w:t>completion</w:t>
            </w:r>
            <w:proofErr w:type="spellEnd"/>
            <w:r>
              <w:t xml:space="preserve"> of 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,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demonstrate</w:t>
            </w:r>
            <w:proofErr w:type="spellEnd"/>
            <w:r>
              <w:t xml:space="preserve"> </w:t>
            </w:r>
            <w:proofErr w:type="spellStart"/>
            <w:r>
              <w:t>basic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 xml:space="preserve"> </w:t>
            </w:r>
            <w:proofErr w:type="spellStart"/>
            <w:r>
              <w:t>in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following</w:t>
            </w:r>
            <w:proofErr w:type="spellEnd"/>
            <w:r>
              <w:t>:</w:t>
            </w:r>
          </w:p>
          <w:p w:rsidR="00BF1B79" w:rsidRDefault="00BF1B79">
            <w:pPr>
              <w:pStyle w:val="Szvegtrzs21"/>
              <w:rPr>
                <w:lang w:val="en"/>
              </w:rPr>
            </w:pPr>
            <w:r>
              <w:rPr>
                <w:lang w:val="en"/>
              </w:rPr>
              <w:t>-</w:t>
            </w:r>
            <w:r w:rsidR="00D30622">
              <w:rPr>
                <w:lang w:val="en"/>
              </w:rPr>
              <w:t xml:space="preserve"> tools and important techniques use</w:t>
            </w:r>
            <w:r>
              <w:rPr>
                <w:lang w:val="en"/>
              </w:rPr>
              <w:t>d in the Toxicology Laboratory,</w:t>
            </w:r>
          </w:p>
          <w:p w:rsidR="00BF1B79" w:rsidRDefault="00BF1B79">
            <w:pPr>
              <w:pStyle w:val="Szvegtrzs21"/>
              <w:rPr>
                <w:lang w:val="en"/>
              </w:rPr>
            </w:pPr>
            <w:r>
              <w:rPr>
                <w:lang w:val="en"/>
              </w:rPr>
              <w:t xml:space="preserve">- </w:t>
            </w:r>
            <w:proofErr w:type="gramStart"/>
            <w:r>
              <w:rPr>
                <w:lang w:val="en"/>
              </w:rPr>
              <w:t>basic</w:t>
            </w:r>
            <w:proofErr w:type="gramEnd"/>
            <w:r>
              <w:rPr>
                <w:lang w:val="en"/>
              </w:rPr>
              <w:t xml:space="preserve"> terminology of the scientific field.</w:t>
            </w:r>
          </w:p>
          <w:p w:rsidR="00287698" w:rsidRDefault="00287698">
            <w:pPr>
              <w:pStyle w:val="Szvegtrzs21"/>
              <w:rPr>
                <w:lang w:val="en"/>
              </w:rPr>
            </w:pPr>
            <w:r>
              <w:rPr>
                <w:lang w:val="en"/>
              </w:rPr>
              <w:t xml:space="preserve">- </w:t>
            </w:r>
            <w:r w:rsidR="00D30622">
              <w:rPr>
                <w:lang w:val="en"/>
              </w:rPr>
              <w:t>the toxic effects in their environment,</w:t>
            </w:r>
          </w:p>
          <w:p w:rsidR="00BF1B79" w:rsidRDefault="00287698">
            <w:pPr>
              <w:pStyle w:val="Szvegtrzs21"/>
              <w:rPr>
                <w:lang w:val="en"/>
              </w:rPr>
            </w:pPr>
            <w:r>
              <w:rPr>
                <w:lang w:val="en"/>
              </w:rPr>
              <w:t xml:space="preserve">- </w:t>
            </w:r>
            <w:r w:rsidR="00D30622">
              <w:rPr>
                <w:lang w:val="en"/>
              </w:rPr>
              <w:t>local and</w:t>
            </w:r>
            <w:r w:rsidR="00BF1B79">
              <w:rPr>
                <w:lang w:val="en"/>
              </w:rPr>
              <w:t xml:space="preserve"> global environmental problems</w:t>
            </w:r>
          </w:p>
          <w:p w:rsidR="00BF1B79" w:rsidRDefault="00287698">
            <w:pPr>
              <w:pStyle w:val="Szvegtrzs21"/>
              <w:rPr>
                <w:lang w:val="en"/>
              </w:rPr>
            </w:pPr>
            <w:r>
              <w:rPr>
                <w:lang w:val="en"/>
              </w:rPr>
              <w:t xml:space="preserve">Students will </w:t>
            </w:r>
            <w:r w:rsidR="00D30622">
              <w:rPr>
                <w:lang w:val="en"/>
              </w:rPr>
              <w:t xml:space="preserve">have a more environmentally conscious approach than the average, and encourage people living </w:t>
            </w:r>
            <w:r w:rsidR="00BF1B79">
              <w:rPr>
                <w:lang w:val="en"/>
              </w:rPr>
              <w:t>in their surroundings to do so.</w:t>
            </w:r>
          </w:p>
          <w:p w:rsidR="00D669D8" w:rsidRDefault="00F664B6">
            <w:pPr>
              <w:pStyle w:val="Szvegtrzs21"/>
              <w:rPr>
                <w:lang w:val="en"/>
              </w:rPr>
            </w:pPr>
            <w:r>
              <w:rPr>
                <w:lang w:val="en"/>
              </w:rPr>
              <w:t>T</w:t>
            </w:r>
            <w:r w:rsidR="00D30622">
              <w:rPr>
                <w:lang w:val="en"/>
              </w:rPr>
              <w:t>hey</w:t>
            </w:r>
            <w:r w:rsidR="00BF1B79">
              <w:rPr>
                <w:lang w:val="en"/>
              </w:rPr>
              <w:t xml:space="preserve"> will</w:t>
            </w:r>
            <w:r w:rsidR="00D30622">
              <w:rPr>
                <w:lang w:val="en"/>
              </w:rPr>
              <w:t xml:space="preserve"> become open to the knowledge</w:t>
            </w:r>
            <w:r w:rsidR="00DA0A23">
              <w:rPr>
                <w:lang w:val="en"/>
              </w:rPr>
              <w:t xml:space="preserve"> of</w:t>
            </w:r>
            <w:r w:rsidR="00D30622">
              <w:rPr>
                <w:lang w:val="en"/>
              </w:rPr>
              <w:t xml:space="preserve"> </w:t>
            </w:r>
            <w:r w:rsidR="00BF1B79">
              <w:rPr>
                <w:lang w:val="en"/>
              </w:rPr>
              <w:t>toxicology-</w:t>
            </w:r>
            <w:r w:rsidR="00D30622">
              <w:rPr>
                <w:lang w:val="en"/>
              </w:rPr>
              <w:t xml:space="preserve">related </w:t>
            </w:r>
            <w:r w:rsidR="00DA0A23">
              <w:rPr>
                <w:lang w:val="en"/>
              </w:rPr>
              <w:t>fields</w:t>
            </w:r>
            <w:r w:rsidR="00D30622">
              <w:rPr>
                <w:lang w:val="en"/>
              </w:rPr>
              <w:t xml:space="preserve"> </w:t>
            </w:r>
            <w:r w:rsidR="00DA0A23">
              <w:rPr>
                <w:lang w:val="en"/>
              </w:rPr>
              <w:t>u</w:t>
            </w:r>
            <w:r w:rsidR="00D30622">
              <w:rPr>
                <w:lang w:val="en"/>
              </w:rPr>
              <w:t xml:space="preserve">nderstand the interrelations between </w:t>
            </w:r>
            <w:r w:rsidR="00DA0A23">
              <w:rPr>
                <w:lang w:val="en"/>
              </w:rPr>
              <w:t>them</w:t>
            </w:r>
            <w:r w:rsidR="00D669D8">
              <w:rPr>
                <w:lang w:val="en"/>
              </w:rPr>
              <w:t>.</w:t>
            </w:r>
          </w:p>
          <w:p w:rsidR="00924153" w:rsidRDefault="00D669D8">
            <w:pPr>
              <w:pStyle w:val="Szvegtrzs21"/>
            </w:pPr>
            <w:r>
              <w:rPr>
                <w:lang w:val="en"/>
              </w:rPr>
              <w:t>The</w:t>
            </w:r>
            <w:r w:rsidRPr="004C4D05">
              <w:rPr>
                <w:lang w:val="en"/>
              </w:rPr>
              <w:t xml:space="preserve"> </w:t>
            </w:r>
            <w:r>
              <w:rPr>
                <w:lang w:val="en"/>
              </w:rPr>
              <w:t>seminar</w:t>
            </w:r>
            <w:r w:rsidRPr="004C4D05">
              <w:rPr>
                <w:lang w:val="en"/>
              </w:rPr>
              <w:t xml:space="preserve"> emphasizing the student's ability t</w:t>
            </w:r>
            <w:r w:rsidR="00F664B6">
              <w:rPr>
                <w:lang w:val="en"/>
              </w:rPr>
              <w:t xml:space="preserve">o critically read and evaluate </w:t>
            </w:r>
            <w:r w:rsidR="00490E83">
              <w:rPr>
                <w:lang w:val="en"/>
              </w:rPr>
              <w:t xml:space="preserve">papers in the areas of </w:t>
            </w:r>
            <w:r w:rsidRPr="004C4D05">
              <w:rPr>
                <w:lang w:val="en"/>
              </w:rPr>
              <w:t>toxicology,</w:t>
            </w:r>
            <w:r>
              <w:rPr>
                <w:lang w:val="en"/>
              </w:rPr>
              <w:t xml:space="preserve"> </w:t>
            </w:r>
            <w:r w:rsidRPr="004C4D05">
              <w:rPr>
                <w:lang w:val="en"/>
              </w:rPr>
              <w:t>evaluate and interpret directed experimental work</w:t>
            </w:r>
            <w:r>
              <w:rPr>
                <w:lang w:val="en"/>
              </w:rPr>
              <w:t>.</w:t>
            </w:r>
          </w:p>
          <w:p w:rsidR="00924153" w:rsidRDefault="00924153">
            <w:pPr>
              <w:ind w:right="141"/>
              <w:jc w:val="both"/>
              <w:rPr>
                <w:b/>
                <w:bCs/>
                <w:szCs w:val="20"/>
                <w:lang w:val="en-GB"/>
              </w:rPr>
            </w:pPr>
          </w:p>
        </w:tc>
      </w:tr>
      <w:tr w:rsidR="00924153">
        <w:trPr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24153" w:rsidRDefault="00924153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924153">
        <w:tc>
          <w:tcPr>
            <w:tcW w:w="92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924153" w:rsidRDefault="00D30622">
            <w:pPr>
              <w:pStyle w:val="Szvegtrzs21"/>
              <w:rPr>
                <w:sz w:val="22"/>
                <w:szCs w:val="22"/>
                <w:lang w:val="en-GB"/>
              </w:rPr>
            </w:pPr>
            <w:r>
              <w:rPr>
                <w:lang w:val="en-GB"/>
              </w:rPr>
              <w:t xml:space="preserve">14. Course outline </w:t>
            </w:r>
          </w:p>
          <w:p w:rsidR="00924153" w:rsidRPr="00496997" w:rsidRDefault="00D30622">
            <w:pPr>
              <w:pStyle w:val="Listaszerbekezds"/>
              <w:numPr>
                <w:ilvl w:val="0"/>
                <w:numId w:val="4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"/>
              </w:rPr>
            </w:pPr>
            <w:r w:rsidRPr="00496997">
              <w:rPr>
                <w:sz w:val="20"/>
                <w:lang w:val="en"/>
              </w:rPr>
              <w:t>Basics of toxicology: The history of toxicology. The disciplines of toxicology. The concepts of toxicology.</w:t>
            </w:r>
          </w:p>
          <w:p w:rsidR="00924153" w:rsidRPr="00496997" w:rsidRDefault="00D30622">
            <w:pPr>
              <w:pStyle w:val="Listaszerbekezds"/>
              <w:numPr>
                <w:ilvl w:val="0"/>
                <w:numId w:val="4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 w:rsidRPr="00496997">
              <w:rPr>
                <w:sz w:val="20"/>
                <w:lang w:val="en"/>
              </w:rPr>
              <w:t>Factors affecting the development of toxic effects: dosage, time, routes of exposure, differences between species.</w:t>
            </w:r>
          </w:p>
          <w:p w:rsidR="00924153" w:rsidRPr="00496997" w:rsidRDefault="00D30622">
            <w:pPr>
              <w:pStyle w:val="Listaszerbekezds"/>
              <w:numPr>
                <w:ilvl w:val="0"/>
                <w:numId w:val="4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"/>
              </w:rPr>
            </w:pPr>
            <w:proofErr w:type="spellStart"/>
            <w:r w:rsidRPr="00496997">
              <w:rPr>
                <w:sz w:val="20"/>
                <w:lang w:val="en"/>
              </w:rPr>
              <w:t>Toxicokinetics</w:t>
            </w:r>
            <w:proofErr w:type="spellEnd"/>
            <w:r w:rsidRPr="00496997">
              <w:rPr>
                <w:sz w:val="20"/>
                <w:lang w:val="en"/>
              </w:rPr>
              <w:t>: absorption of various toxic substances, distribution of the toxic substance in the body, biotransformation, excretion of the toxic substance.</w:t>
            </w:r>
          </w:p>
          <w:p w:rsidR="00924153" w:rsidRPr="00496997" w:rsidRDefault="00D30622">
            <w:pPr>
              <w:pStyle w:val="Listaszerbekezds"/>
              <w:numPr>
                <w:ilvl w:val="0"/>
                <w:numId w:val="4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"/>
              </w:rPr>
            </w:pPr>
            <w:r w:rsidRPr="00496997">
              <w:rPr>
                <w:sz w:val="20"/>
                <w:lang w:val="en"/>
              </w:rPr>
              <w:t>Toxicology of organs and organ systems, local and systemic toxic effects.</w:t>
            </w:r>
          </w:p>
          <w:p w:rsidR="00924153" w:rsidRPr="00496997" w:rsidRDefault="00D30622">
            <w:pPr>
              <w:pStyle w:val="Listaszerbekezds"/>
              <w:numPr>
                <w:ilvl w:val="0"/>
                <w:numId w:val="4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"/>
              </w:rPr>
            </w:pPr>
            <w:r w:rsidRPr="00496997">
              <w:rPr>
                <w:sz w:val="20"/>
                <w:lang w:val="en"/>
              </w:rPr>
              <w:t>Laboratory evaluation of toxicity, clinical chemistry and hematology, pathology and histopathology. Toxicological tests.</w:t>
            </w:r>
          </w:p>
          <w:p w:rsidR="00924153" w:rsidRPr="00496997" w:rsidRDefault="00D30622">
            <w:pPr>
              <w:pStyle w:val="Listaszerbekezds"/>
              <w:numPr>
                <w:ilvl w:val="0"/>
                <w:numId w:val="4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"/>
              </w:rPr>
            </w:pPr>
            <w:r w:rsidRPr="00496997">
              <w:rPr>
                <w:sz w:val="20"/>
                <w:lang w:val="en"/>
              </w:rPr>
              <w:t>Cytotoxicity, genotoxic</w:t>
            </w:r>
            <w:r w:rsidR="009E7807">
              <w:rPr>
                <w:sz w:val="20"/>
                <w:lang w:val="en"/>
              </w:rPr>
              <w:t>ity</w:t>
            </w:r>
            <w:r w:rsidRPr="00496997">
              <w:rPr>
                <w:sz w:val="20"/>
                <w:lang w:val="en"/>
              </w:rPr>
              <w:t>, types of genotoxic effects, repair mechanisms. Methods for determining mutagenicity.</w:t>
            </w:r>
          </w:p>
          <w:p w:rsidR="00924153" w:rsidRPr="00496997" w:rsidRDefault="00D30622">
            <w:pPr>
              <w:pStyle w:val="Listaszerbekezds"/>
              <w:numPr>
                <w:ilvl w:val="0"/>
                <w:numId w:val="4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 w:rsidRPr="00496997">
              <w:rPr>
                <w:sz w:val="20"/>
                <w:lang w:val="en"/>
              </w:rPr>
              <w:t xml:space="preserve">Test 1. The effect of UV radiation on microorganisms, the </w:t>
            </w:r>
            <w:proofErr w:type="spellStart"/>
            <w:r w:rsidRPr="00496997">
              <w:rPr>
                <w:sz w:val="20"/>
                <w:lang w:val="en"/>
              </w:rPr>
              <w:t>photoreactivation</w:t>
            </w:r>
            <w:proofErr w:type="spellEnd"/>
            <w:r w:rsidRPr="00496997">
              <w:rPr>
                <w:sz w:val="20"/>
                <w:lang w:val="en"/>
              </w:rPr>
              <w:t xml:space="preserve"> test (practical task). Practice of the Ames and Del tests (practical task).</w:t>
            </w:r>
          </w:p>
          <w:p w:rsidR="00924153" w:rsidRPr="00496997" w:rsidRDefault="00D30622">
            <w:pPr>
              <w:pStyle w:val="Listaszerbekezds"/>
              <w:numPr>
                <w:ilvl w:val="0"/>
                <w:numId w:val="4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"/>
              </w:rPr>
            </w:pPr>
            <w:r w:rsidRPr="00496997">
              <w:rPr>
                <w:sz w:val="20"/>
                <w:lang w:val="en"/>
              </w:rPr>
              <w:t>Carcinogenesis. Grouping of carcinogenic substances, formation of carcinogenic effects.</w:t>
            </w:r>
          </w:p>
          <w:p w:rsidR="00924153" w:rsidRPr="00496997" w:rsidRDefault="00D30622">
            <w:pPr>
              <w:pStyle w:val="Listaszerbekezds"/>
              <w:numPr>
                <w:ilvl w:val="0"/>
                <w:numId w:val="4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"/>
              </w:rPr>
            </w:pPr>
            <w:r w:rsidRPr="00496997">
              <w:rPr>
                <w:sz w:val="20"/>
                <w:lang w:val="en"/>
              </w:rPr>
              <w:t xml:space="preserve">The basics of ecotoxicology, the history of environmental toxicology, basic concepts, the fate of toxic substances in the environment. Practical application of </w:t>
            </w:r>
            <w:proofErr w:type="spellStart"/>
            <w:r w:rsidRPr="00496997">
              <w:rPr>
                <w:sz w:val="20"/>
                <w:lang w:val="en"/>
              </w:rPr>
              <w:t>Azotobacter</w:t>
            </w:r>
            <w:proofErr w:type="spellEnd"/>
            <w:r w:rsidRPr="00496997">
              <w:rPr>
                <w:sz w:val="20"/>
                <w:lang w:val="en"/>
              </w:rPr>
              <w:t xml:space="preserve"> agile </w:t>
            </w:r>
            <w:proofErr w:type="spellStart"/>
            <w:r w:rsidRPr="00496997">
              <w:rPr>
                <w:sz w:val="20"/>
                <w:lang w:val="en"/>
              </w:rPr>
              <w:t>ecotoxicity</w:t>
            </w:r>
            <w:proofErr w:type="spellEnd"/>
            <w:r w:rsidRPr="00496997">
              <w:rPr>
                <w:sz w:val="20"/>
                <w:lang w:val="en"/>
              </w:rPr>
              <w:t xml:space="preserve"> test (practical exercise).</w:t>
            </w:r>
          </w:p>
          <w:p w:rsidR="00924153" w:rsidRPr="00496997" w:rsidRDefault="00D30622">
            <w:pPr>
              <w:pStyle w:val="Listaszerbekezds"/>
              <w:numPr>
                <w:ilvl w:val="0"/>
                <w:numId w:val="4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"/>
              </w:rPr>
            </w:pPr>
            <w:proofErr w:type="spellStart"/>
            <w:r w:rsidRPr="00496997">
              <w:rPr>
                <w:sz w:val="20"/>
                <w:lang w:val="en"/>
              </w:rPr>
              <w:t>Havarias</w:t>
            </w:r>
            <w:proofErr w:type="spellEnd"/>
            <w:r w:rsidRPr="00496997">
              <w:rPr>
                <w:sz w:val="20"/>
                <w:lang w:val="en"/>
              </w:rPr>
              <w:t>. Polluting sources 1: Pollutants in the air. Soil contaminants.</w:t>
            </w:r>
          </w:p>
          <w:p w:rsidR="00924153" w:rsidRPr="00496997" w:rsidRDefault="00D30622">
            <w:pPr>
              <w:pStyle w:val="Listaszerbekezds"/>
              <w:numPr>
                <w:ilvl w:val="0"/>
                <w:numId w:val="4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"/>
              </w:rPr>
            </w:pPr>
            <w:r w:rsidRPr="00496997">
              <w:rPr>
                <w:sz w:val="20"/>
                <w:lang w:val="en"/>
              </w:rPr>
              <w:t>Polluting sources 2: contaminants of surface and groundwater. Examination of the toxic effects of metal ions (practical task).</w:t>
            </w:r>
          </w:p>
          <w:p w:rsidR="00924153" w:rsidRPr="00496997" w:rsidRDefault="00D30622">
            <w:pPr>
              <w:pStyle w:val="Listaszerbekezds"/>
              <w:numPr>
                <w:ilvl w:val="0"/>
                <w:numId w:val="4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 w:rsidRPr="00496997">
              <w:rPr>
                <w:sz w:val="20"/>
                <w:lang w:val="en"/>
              </w:rPr>
              <w:t>Intoxications. Severity of poisoning, symptoms of poisoning. Occupational Health Toxicology. Risk Assessment, (practical task).</w:t>
            </w:r>
          </w:p>
          <w:p w:rsidR="00924153" w:rsidRPr="00496997" w:rsidRDefault="00D30622">
            <w:pPr>
              <w:pStyle w:val="Listaszerbekezds"/>
              <w:numPr>
                <w:ilvl w:val="0"/>
                <w:numId w:val="4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"/>
              </w:rPr>
            </w:pPr>
            <w:r w:rsidRPr="00496997">
              <w:rPr>
                <w:sz w:val="20"/>
                <w:lang w:val="en"/>
              </w:rPr>
              <w:t>Bacterial, animal and plant toxins in nature. Investigation of plant antimicrobial substances (practical task). Mycotoxins. Classification, detection, detoxification procedures.</w:t>
            </w:r>
          </w:p>
          <w:p w:rsidR="00924153" w:rsidRDefault="00D30622">
            <w:pPr>
              <w:pStyle w:val="Listaszerbekezds"/>
              <w:numPr>
                <w:ilvl w:val="0"/>
                <w:numId w:val="4"/>
              </w:numPr>
              <w:tabs>
                <w:tab w:val="left" w:pos="859"/>
              </w:tabs>
              <w:autoSpaceDE w:val="0"/>
              <w:jc w:val="both"/>
              <w:rPr>
                <w:lang w:val="en"/>
              </w:rPr>
            </w:pPr>
            <w:r w:rsidRPr="00496997">
              <w:rPr>
                <w:sz w:val="20"/>
                <w:lang w:val="en"/>
              </w:rPr>
              <w:t>Test 2</w:t>
            </w:r>
          </w:p>
        </w:tc>
      </w:tr>
      <w:tr w:rsidR="00924153">
        <w:trPr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24153" w:rsidRDefault="00924153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924153">
        <w:tc>
          <w:tcPr>
            <w:tcW w:w="92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924153" w:rsidRDefault="00D30622">
            <w:pPr>
              <w:rPr>
                <w:lang w:val="en-GB"/>
              </w:rPr>
            </w:pPr>
            <w:r>
              <w:rPr>
                <w:rStyle w:val="Szvegtrzs2Char"/>
                <w:lang w:val="en-GB"/>
              </w:rPr>
              <w:lastRenderedPageBreak/>
              <w:t>15. Mid-semester works</w:t>
            </w:r>
          </w:p>
          <w:p w:rsidR="00924153" w:rsidRDefault="00D30622">
            <w:pPr>
              <w:rPr>
                <w:lang w:val="en-GB"/>
              </w:rPr>
            </w:pPr>
            <w:r>
              <w:rPr>
                <w:lang w:val="en-GB"/>
              </w:rPr>
              <w:t>week 7: test 1</w:t>
            </w:r>
          </w:p>
          <w:p w:rsidR="00924153" w:rsidRDefault="00D30622">
            <w:pPr>
              <w:rPr>
                <w:lang w:val="en-GB"/>
              </w:rPr>
            </w:pPr>
            <w:proofErr w:type="gramStart"/>
            <w:r>
              <w:rPr>
                <w:lang w:val="en-GB"/>
              </w:rPr>
              <w:t>week</w:t>
            </w:r>
            <w:proofErr w:type="gramEnd"/>
            <w:r>
              <w:rPr>
                <w:lang w:val="en-GB"/>
              </w:rPr>
              <w:t xml:space="preserve"> 14: test 2.</w:t>
            </w:r>
          </w:p>
          <w:p w:rsidR="00046172" w:rsidRDefault="00046172" w:rsidP="00046172">
            <w:pPr>
              <w:rPr>
                <w:lang w:val="en-GB"/>
              </w:rPr>
            </w:pPr>
            <w:r w:rsidRPr="004E203A">
              <w:rPr>
                <w:lang w:val="en-GB"/>
              </w:rPr>
              <w:t xml:space="preserve">Attending lectures is </w:t>
            </w:r>
            <w:r>
              <w:rPr>
                <w:lang w:val="en-GB"/>
              </w:rPr>
              <w:t>required.</w:t>
            </w:r>
          </w:p>
        </w:tc>
      </w:tr>
      <w:tr w:rsidR="00924153">
        <w:trPr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24153" w:rsidRDefault="00924153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924153">
        <w:tc>
          <w:tcPr>
            <w:tcW w:w="92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924153" w:rsidRDefault="00D30622">
            <w:pPr>
              <w:rPr>
                <w:rStyle w:val="Szvegtrzs2Char"/>
                <w:b w:val="0"/>
                <w:lang w:val="en-GB"/>
              </w:rPr>
            </w:pPr>
            <w:r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924153" w:rsidRDefault="00924153">
            <w:pPr>
              <w:rPr>
                <w:lang w:val="en-GB"/>
              </w:rPr>
            </w:pPr>
          </w:p>
          <w:p w:rsidR="00924153" w:rsidRDefault="00D30622">
            <w:pPr>
              <w:rPr>
                <w:szCs w:val="20"/>
                <w:lang w:val="en-GB"/>
              </w:rPr>
            </w:pPr>
            <w:r>
              <w:rPr>
                <w:rStyle w:val="Szvegtrzs2Char"/>
                <w:b w:val="0"/>
                <w:lang w:val="en-GB"/>
              </w:rPr>
              <w:t>Grades:</w:t>
            </w:r>
          </w:p>
          <w:p w:rsidR="00046172" w:rsidRPr="004E203A" w:rsidRDefault="00D30622" w:rsidP="00046172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  </w:t>
            </w:r>
            <w:r w:rsidR="00046172" w:rsidRPr="004E203A">
              <w:rPr>
                <w:szCs w:val="20"/>
                <w:lang w:val="en-GB"/>
              </w:rPr>
              <w:t>0–5</w:t>
            </w:r>
            <w:r w:rsidR="00046172">
              <w:rPr>
                <w:szCs w:val="20"/>
                <w:lang w:val="en-GB"/>
              </w:rPr>
              <w:t>0% unsatisfactory</w:t>
            </w:r>
          </w:p>
          <w:p w:rsidR="00046172" w:rsidRPr="004E203A" w:rsidRDefault="00046172" w:rsidP="00046172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51–65% </w:t>
            </w:r>
            <w:r>
              <w:rPr>
                <w:szCs w:val="20"/>
                <w:lang w:val="en-GB"/>
              </w:rPr>
              <w:t>satisfactory</w:t>
            </w:r>
          </w:p>
          <w:p w:rsidR="00046172" w:rsidRPr="004E203A" w:rsidRDefault="00046172" w:rsidP="00046172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66–</w:t>
            </w:r>
            <w:r>
              <w:rPr>
                <w:szCs w:val="20"/>
                <w:lang w:val="en-GB"/>
              </w:rPr>
              <w:t>80</w:t>
            </w:r>
            <w:r w:rsidRPr="004E203A">
              <w:rPr>
                <w:szCs w:val="20"/>
                <w:lang w:val="en-GB"/>
              </w:rPr>
              <w:t xml:space="preserve">% </w:t>
            </w:r>
            <w:r>
              <w:rPr>
                <w:szCs w:val="20"/>
                <w:lang w:val="en-GB"/>
              </w:rPr>
              <w:t>fair</w:t>
            </w:r>
          </w:p>
          <w:p w:rsidR="00046172" w:rsidRPr="004E203A" w:rsidRDefault="00046172" w:rsidP="00046172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81</w:t>
            </w:r>
            <w:r w:rsidRPr="004E203A">
              <w:rPr>
                <w:szCs w:val="20"/>
                <w:lang w:val="en-GB"/>
              </w:rPr>
              <w:t>–90% good</w:t>
            </w:r>
          </w:p>
          <w:p w:rsidR="00046172" w:rsidRPr="004E203A" w:rsidRDefault="00046172" w:rsidP="00046172">
            <w:pPr>
              <w:ind w:left="142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91–100% excellent</w:t>
            </w:r>
          </w:p>
          <w:p w:rsidR="00924153" w:rsidRDefault="00924153">
            <w:pPr>
              <w:ind w:left="142"/>
              <w:rPr>
                <w:lang w:val="en-GB"/>
              </w:rPr>
            </w:pPr>
          </w:p>
          <w:p w:rsidR="00924153" w:rsidRDefault="00D30622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Labnotes</w:t>
            </w:r>
            <w:proofErr w:type="spellEnd"/>
            <w:r>
              <w:rPr>
                <w:lang w:val="en-GB"/>
              </w:rPr>
              <w:t xml:space="preserve">: Evaluation of the </w:t>
            </w:r>
            <w:proofErr w:type="spellStart"/>
            <w:r>
              <w:rPr>
                <w:lang w:val="en-GB"/>
              </w:rPr>
              <w:t>labnotes</w:t>
            </w:r>
            <w:proofErr w:type="spellEnd"/>
            <w:r>
              <w:rPr>
                <w:lang w:val="en-GB"/>
              </w:rPr>
              <w:t xml:space="preserve"> after the 6 practical tasks, on a scale of 1-5.</w:t>
            </w:r>
            <w:r>
              <w:t xml:space="preserve"> </w:t>
            </w:r>
            <w:r>
              <w:rPr>
                <w:lang w:val="en"/>
              </w:rPr>
              <w:t xml:space="preserve">The </w:t>
            </w:r>
            <w:r w:rsidR="00A8239E">
              <w:rPr>
                <w:lang w:val="en"/>
              </w:rPr>
              <w:t xml:space="preserve">final </w:t>
            </w:r>
            <w:r>
              <w:rPr>
                <w:lang w:val="en"/>
              </w:rPr>
              <w:t xml:space="preserve">is the arithmetic mean of the average of the two exam papers and the average of the marks obtained for the </w:t>
            </w:r>
            <w:proofErr w:type="spellStart"/>
            <w:r>
              <w:rPr>
                <w:lang w:val="en"/>
              </w:rPr>
              <w:t>labnotes</w:t>
            </w:r>
            <w:proofErr w:type="spellEnd"/>
            <w:r>
              <w:rPr>
                <w:lang w:val="en"/>
              </w:rPr>
              <w:t xml:space="preserve">. An additional condition for the completion of the semester is </w:t>
            </w:r>
            <w:r w:rsidR="00A8239E">
              <w:rPr>
                <w:lang w:val="en"/>
              </w:rPr>
              <w:t>to absolve</w:t>
            </w:r>
            <w:r w:rsidR="009E7807">
              <w:rPr>
                <w:lang w:val="en"/>
              </w:rPr>
              <w:t xml:space="preserve"> at least</w:t>
            </w:r>
            <w:r w:rsidR="00A8239E">
              <w:rPr>
                <w:lang w:val="en"/>
              </w:rPr>
              <w:t xml:space="preserve"> the satisfactory level</w:t>
            </w:r>
            <w:r>
              <w:rPr>
                <w:lang w:val="en"/>
              </w:rPr>
              <w:t xml:space="preserve"> of the </w:t>
            </w:r>
            <w:r w:rsidR="009E7807">
              <w:rPr>
                <w:lang w:val="en"/>
              </w:rPr>
              <w:t>two</w:t>
            </w:r>
            <w:r>
              <w:rPr>
                <w:lang w:val="en"/>
              </w:rPr>
              <w:t xml:space="preserve"> tests</w:t>
            </w:r>
            <w:r w:rsidR="009E7807">
              <w:rPr>
                <w:lang w:val="en"/>
              </w:rPr>
              <w:t xml:space="preserve"> (one by one)</w:t>
            </w:r>
            <w:r>
              <w:rPr>
                <w:lang w:val="en"/>
              </w:rPr>
              <w:t xml:space="preserve">. We will provide an opportunity to improve the grade of the tests during the semester. The tests are based on and follow the </w:t>
            </w:r>
            <w:proofErr w:type="spellStart"/>
            <w:r>
              <w:rPr>
                <w:lang w:val="en"/>
              </w:rPr>
              <w:t>thematics</w:t>
            </w:r>
            <w:proofErr w:type="spellEnd"/>
            <w:r>
              <w:rPr>
                <w:lang w:val="en"/>
              </w:rPr>
              <w:t>.</w:t>
            </w:r>
          </w:p>
          <w:p w:rsidR="00924153" w:rsidRDefault="00924153">
            <w:pPr>
              <w:rPr>
                <w:szCs w:val="20"/>
                <w:lang w:val="en-GB"/>
              </w:rPr>
            </w:pPr>
          </w:p>
        </w:tc>
      </w:tr>
      <w:tr w:rsidR="00924153">
        <w:trPr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24153" w:rsidRDefault="00924153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924153">
        <w:tc>
          <w:tcPr>
            <w:tcW w:w="92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924153" w:rsidRDefault="00D30622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>17. List of readings</w:t>
            </w:r>
          </w:p>
          <w:p w:rsidR="00924153" w:rsidRDefault="00D30622">
            <w:pPr>
              <w:numPr>
                <w:ilvl w:val="0"/>
                <w:numId w:val="3"/>
              </w:numPr>
              <w:autoSpaceDE/>
              <w:rPr>
                <w:lang w:val="en-GB"/>
              </w:rPr>
            </w:pPr>
            <w:r>
              <w:rPr>
                <w:szCs w:val="20"/>
              </w:rPr>
              <w:t xml:space="preserve">Ernest </w:t>
            </w:r>
            <w:proofErr w:type="spellStart"/>
            <w:r>
              <w:rPr>
                <w:szCs w:val="20"/>
              </w:rPr>
              <w:t>Hodgson</w:t>
            </w:r>
            <w:proofErr w:type="spellEnd"/>
            <w:r>
              <w:rPr>
                <w:szCs w:val="20"/>
              </w:rPr>
              <w:t xml:space="preserve">: A </w:t>
            </w:r>
            <w:proofErr w:type="spellStart"/>
            <w:r>
              <w:rPr>
                <w:szCs w:val="20"/>
              </w:rPr>
              <w:t>textbook</w:t>
            </w:r>
            <w:proofErr w:type="spellEnd"/>
            <w:r>
              <w:rPr>
                <w:szCs w:val="20"/>
              </w:rPr>
              <w:t xml:space="preserve"> of modern </w:t>
            </w:r>
            <w:proofErr w:type="spellStart"/>
            <w:r>
              <w:rPr>
                <w:szCs w:val="20"/>
              </w:rPr>
              <w:t>toxicology</w:t>
            </w:r>
            <w:proofErr w:type="spellEnd"/>
            <w:r>
              <w:rPr>
                <w:szCs w:val="20"/>
              </w:rPr>
              <w:t xml:space="preserve">, John </w:t>
            </w:r>
            <w:proofErr w:type="spellStart"/>
            <w:r>
              <w:rPr>
                <w:szCs w:val="20"/>
              </w:rPr>
              <w:t>Wiley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Sons</w:t>
            </w:r>
            <w:proofErr w:type="spellEnd"/>
            <w:r>
              <w:rPr>
                <w:szCs w:val="20"/>
              </w:rPr>
              <w:t>, Inc</w:t>
            </w:r>
            <w:proofErr w:type="gramStart"/>
            <w:r>
              <w:rPr>
                <w:szCs w:val="20"/>
              </w:rPr>
              <w:t>.,</w:t>
            </w:r>
            <w:proofErr w:type="gramEnd"/>
            <w:r>
              <w:rPr>
                <w:szCs w:val="20"/>
              </w:rPr>
              <w:t xml:space="preserve"> 2004.</w:t>
            </w:r>
          </w:p>
          <w:p w:rsidR="00924153" w:rsidRDefault="00924153">
            <w:pPr>
              <w:autoSpaceDE/>
              <w:ind w:left="720"/>
              <w:rPr>
                <w:szCs w:val="20"/>
                <w:lang w:val="en-GB"/>
              </w:rPr>
            </w:pPr>
          </w:p>
        </w:tc>
      </w:tr>
      <w:tr w:rsidR="00924153">
        <w:trPr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24153" w:rsidRDefault="00924153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924153">
        <w:tc>
          <w:tcPr>
            <w:tcW w:w="92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924153" w:rsidRDefault="00D30622">
            <w:pPr>
              <w:pStyle w:val="Szvegtrzs21"/>
            </w:pPr>
            <w:r>
              <w:rPr>
                <w:lang w:val="en-GB"/>
              </w:rPr>
              <w:t xml:space="preserve">18. Recommended texts, further readings </w:t>
            </w:r>
          </w:p>
          <w:p w:rsidR="00924153" w:rsidRDefault="00496997">
            <w:pPr>
              <w:numPr>
                <w:ilvl w:val="0"/>
                <w:numId w:val="5"/>
              </w:numPr>
              <w:autoSpaceDE/>
              <w:rPr>
                <w:lang w:val="en-GB"/>
              </w:rPr>
            </w:pPr>
            <w:r>
              <w:rPr>
                <w:lang w:val="en-GB"/>
              </w:rPr>
              <w:t>A digital</w:t>
            </w:r>
            <w:r w:rsidR="00D30622">
              <w:rPr>
                <w:lang w:val="en-GB"/>
              </w:rPr>
              <w:t xml:space="preserve"> textbook is available from the lecturer.</w:t>
            </w:r>
          </w:p>
          <w:p w:rsidR="00924153" w:rsidRDefault="00924153">
            <w:pPr>
              <w:numPr>
                <w:ilvl w:val="0"/>
                <w:numId w:val="5"/>
              </w:numPr>
              <w:autoSpaceDE/>
              <w:rPr>
                <w:lang w:val="en-GB"/>
              </w:rPr>
            </w:pPr>
          </w:p>
        </w:tc>
      </w:tr>
      <w:tr w:rsidR="00924153">
        <w:trPr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24153" w:rsidRDefault="00924153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924153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65" w:type="dxa"/>
              <w:bottom w:w="0" w:type="dxa"/>
            </w:tcMar>
            <w:vAlign w:val="bottom"/>
          </w:tcPr>
          <w:p w:rsidR="00924153" w:rsidRDefault="00D30622">
            <w:pPr>
              <w:rPr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65" w:type="dxa"/>
              <w:bottom w:w="0" w:type="dxa"/>
            </w:tcMar>
            <w:vAlign w:val="bottom"/>
          </w:tcPr>
          <w:p w:rsidR="00924153" w:rsidRDefault="00D30622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13 April, 2017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65" w:type="dxa"/>
              <w:bottom w:w="0" w:type="dxa"/>
            </w:tcMar>
            <w:vAlign w:val="center"/>
          </w:tcPr>
          <w:p w:rsidR="00924153" w:rsidRDefault="00D30622">
            <w:pPr>
              <w:jc w:val="right"/>
              <w:rPr>
                <w:b/>
                <w:bCs/>
                <w:szCs w:val="20"/>
                <w:lang w:val="en-GB"/>
              </w:rPr>
            </w:pPr>
            <w:r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5" w:type="dxa"/>
              <w:bottom w:w="0" w:type="dxa"/>
            </w:tcMar>
            <w:vAlign w:val="center"/>
          </w:tcPr>
          <w:p w:rsidR="00924153" w:rsidRDefault="00924153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924153"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65" w:type="dxa"/>
              <w:bottom w:w="0" w:type="dxa"/>
            </w:tcMar>
            <w:vAlign w:val="center"/>
          </w:tcPr>
          <w:p w:rsidR="00924153" w:rsidRDefault="00924153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65" w:type="dxa"/>
              <w:bottom w:w="0" w:type="dxa"/>
            </w:tcMar>
            <w:vAlign w:val="center"/>
          </w:tcPr>
          <w:p w:rsidR="00924153" w:rsidRDefault="00924153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65" w:type="dxa"/>
              <w:bottom w:w="0" w:type="dxa"/>
            </w:tcMar>
            <w:vAlign w:val="center"/>
          </w:tcPr>
          <w:p w:rsidR="00924153" w:rsidRDefault="00924153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5" w:type="dxa"/>
              <w:bottom w:w="0" w:type="dxa"/>
            </w:tcMar>
            <w:vAlign w:val="center"/>
          </w:tcPr>
          <w:p w:rsidR="00924153" w:rsidRDefault="009D07CD">
            <w:pPr>
              <w:snapToGrid w:val="0"/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Gábor</w:t>
            </w:r>
            <w:proofErr w:type="spellEnd"/>
            <w:r>
              <w:rPr>
                <w:szCs w:val="20"/>
                <w:lang w:val="en-GB"/>
              </w:rPr>
              <w:t xml:space="preserve"> Papp Ph.D.</w:t>
            </w:r>
          </w:p>
        </w:tc>
      </w:tr>
      <w:tr w:rsidR="00924153">
        <w:trPr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924153" w:rsidRDefault="00924153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924153"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65" w:type="dxa"/>
              <w:bottom w:w="0" w:type="dxa"/>
            </w:tcMar>
            <w:vAlign w:val="center"/>
          </w:tcPr>
          <w:p w:rsidR="00924153" w:rsidRDefault="00D30622">
            <w:pPr>
              <w:jc w:val="right"/>
            </w:pPr>
            <w:r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5" w:type="dxa"/>
              <w:bottom w:w="0" w:type="dxa"/>
            </w:tcMar>
            <w:vAlign w:val="center"/>
          </w:tcPr>
          <w:p w:rsidR="00924153" w:rsidRDefault="00924153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924153"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65" w:type="dxa"/>
              <w:bottom w:w="0" w:type="dxa"/>
            </w:tcMar>
            <w:vAlign w:val="center"/>
          </w:tcPr>
          <w:p w:rsidR="00924153" w:rsidRDefault="00924153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65" w:type="dxa"/>
              <w:bottom w:w="0" w:type="dxa"/>
            </w:tcMar>
            <w:vAlign w:val="center"/>
          </w:tcPr>
          <w:p w:rsidR="00924153" w:rsidRDefault="00924153">
            <w:pPr>
              <w:snapToGrid w:val="0"/>
              <w:jc w:val="center"/>
              <w:rPr>
                <w:b/>
                <w:bCs/>
                <w:szCs w:val="20"/>
                <w:lang w:val="en-GB"/>
              </w:rPr>
            </w:pPr>
          </w:p>
        </w:tc>
      </w:tr>
    </w:tbl>
    <w:p w:rsidR="00924153" w:rsidRDefault="00924153">
      <w:pPr>
        <w:rPr>
          <w:lang w:val="en-GB"/>
        </w:rPr>
      </w:pPr>
    </w:p>
    <w:sectPr w:rsidR="00924153">
      <w:headerReference w:type="default" r:id="rId8"/>
      <w:pgSz w:w="11906" w:h="16838"/>
      <w:pgMar w:top="1134" w:right="1418" w:bottom="567" w:left="1418" w:header="426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98D" w:rsidRDefault="002C798D">
      <w:r>
        <w:separator/>
      </w:r>
    </w:p>
  </w:endnote>
  <w:endnote w:type="continuationSeparator" w:id="0">
    <w:p w:rsidR="002C798D" w:rsidRDefault="002C7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;ＭＳ 明朝">
    <w:panose1 w:val="00000000000000000000"/>
    <w:charset w:val="80"/>
    <w:family w:val="roman"/>
    <w:notTrueType/>
    <w:pitch w:val="default"/>
  </w:font>
  <w:font w:name="Adobe Garamond Pro;Times New Ro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98D" w:rsidRDefault="002C798D">
      <w:r>
        <w:separator/>
      </w:r>
    </w:p>
  </w:footnote>
  <w:footnote w:type="continuationSeparator" w:id="0">
    <w:p w:rsidR="002C798D" w:rsidRDefault="002C79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72" w:type="dxa"/>
      <w:tblInd w:w="-30" w:type="dxa"/>
      <w:tblBorders>
        <w:top w:val="single" w:sz="12" w:space="0" w:color="000000"/>
        <w:left w:val="single" w:sz="12" w:space="0" w:color="000000"/>
        <w:bottom w:val="single" w:sz="12" w:space="0" w:color="000000"/>
        <w:insideH w:val="single" w:sz="12" w:space="0" w:color="000000"/>
      </w:tblBorders>
      <w:tblCellMar>
        <w:left w:w="55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81"/>
    </w:tblGrid>
    <w:tr w:rsidR="00924153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tcMar>
            <w:left w:w="55" w:type="dxa"/>
          </w:tcMar>
          <w:vAlign w:val="center"/>
        </w:tcPr>
        <w:p w:rsidR="00924153" w:rsidRDefault="00D30622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tcMar>
            <w:left w:w="65" w:type="dxa"/>
          </w:tcMar>
          <w:vAlign w:val="center"/>
        </w:tcPr>
        <w:p w:rsidR="00924153" w:rsidRDefault="00D30622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8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tcMar>
            <w:left w:w="65" w:type="dxa"/>
          </w:tcMar>
          <w:vAlign w:val="center"/>
        </w:tcPr>
        <w:p w:rsidR="00924153" w:rsidRDefault="00D30622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instrText>PAGE</w:instrText>
          </w:r>
          <w:r>
            <w:fldChar w:fldCharType="separate"/>
          </w:r>
          <w:r w:rsidR="004725CE">
            <w:rPr>
              <w:noProof/>
            </w:rPr>
            <w:t>1</w:t>
          </w:r>
          <w:r>
            <w:fldChar w:fldCharType="end"/>
          </w:r>
          <w:r>
            <w:rPr>
              <w:szCs w:val="20"/>
            </w:rPr>
            <w:t>/2</w:t>
          </w:r>
        </w:p>
      </w:tc>
    </w:tr>
  </w:tbl>
  <w:p w:rsidR="00924153" w:rsidRDefault="00924153">
    <w:pPr>
      <w:pStyle w:val="lfej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114FE"/>
    <w:multiLevelType w:val="multilevel"/>
    <w:tmpl w:val="F55ED78C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sz w:val="20"/>
        <w:szCs w:val="20"/>
        <w:lang w:val="e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F890C35"/>
    <w:multiLevelType w:val="multilevel"/>
    <w:tmpl w:val="E85CAEE6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B773C1"/>
    <w:multiLevelType w:val="multilevel"/>
    <w:tmpl w:val="14A0B560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D702B22"/>
    <w:multiLevelType w:val="multilevel"/>
    <w:tmpl w:val="F2E277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D24108B"/>
    <w:multiLevelType w:val="multilevel"/>
    <w:tmpl w:val="BE706FD6"/>
    <w:lvl w:ilvl="0">
      <w:start w:val="1"/>
      <w:numFmt w:val="decimal"/>
      <w:pStyle w:val="Cmsor1"/>
      <w:lvlText w:val="Week %1"/>
      <w:lvlJc w:val="left"/>
      <w:pPr>
        <w:ind w:left="0" w:firstLine="0"/>
      </w:pPr>
    </w:lvl>
    <w:lvl w:ilvl="1">
      <w:start w:val="1"/>
      <w:numFmt w:val="decimal"/>
      <w:pStyle w:val="Cmsor2"/>
      <w:lvlText w:val="Section %1.%2"/>
      <w:lvlJc w:val="left"/>
      <w:pPr>
        <w:ind w:left="0" w:firstLine="0"/>
      </w:pPr>
    </w:lvl>
    <w:lvl w:ilvl="2">
      <w:start w:val="1"/>
      <w:numFmt w:val="lowerLetter"/>
      <w:pStyle w:val="Cmsor3"/>
      <w:lvlText w:val="(%3)"/>
      <w:lvlJc w:val="left"/>
      <w:pPr>
        <w:ind w:left="720" w:hanging="432"/>
      </w:pPr>
    </w:lvl>
    <w:lvl w:ilvl="3">
      <w:start w:val="1"/>
      <w:numFmt w:val="lowerRoman"/>
      <w:pStyle w:val="Cmsor4"/>
      <w:lvlText w:val="(%4)"/>
      <w:lvlJc w:val="right"/>
      <w:pPr>
        <w:ind w:left="864" w:hanging="144"/>
      </w:pPr>
    </w:lvl>
    <w:lvl w:ilvl="4">
      <w:start w:val="1"/>
      <w:numFmt w:val="decimal"/>
      <w:pStyle w:val="Cmsor5"/>
      <w:lvlText w:val="%5)"/>
      <w:lvlJc w:val="left"/>
      <w:pPr>
        <w:ind w:left="1008" w:hanging="432"/>
      </w:pPr>
    </w:lvl>
    <w:lvl w:ilvl="5">
      <w:start w:val="1"/>
      <w:numFmt w:val="lowerLetter"/>
      <w:pStyle w:val="Cmsor6"/>
      <w:lvlText w:val="%6)"/>
      <w:lvlJc w:val="left"/>
      <w:pPr>
        <w:ind w:left="1152" w:hanging="432"/>
      </w:pPr>
    </w:lvl>
    <w:lvl w:ilvl="6">
      <w:start w:val="1"/>
      <w:numFmt w:val="lowerRoman"/>
      <w:pStyle w:val="Cmsor7"/>
      <w:lvlText w:val="%7)"/>
      <w:lvlJc w:val="right"/>
      <w:pPr>
        <w:ind w:left="1296" w:hanging="288"/>
      </w:pPr>
    </w:lvl>
    <w:lvl w:ilvl="7">
      <w:start w:val="1"/>
      <w:numFmt w:val="lowerLetter"/>
      <w:pStyle w:val="Cmsor8"/>
      <w:lvlText w:val="%8."/>
      <w:lvlJc w:val="left"/>
      <w:pPr>
        <w:ind w:left="1440" w:hanging="432"/>
      </w:pPr>
    </w:lvl>
    <w:lvl w:ilvl="8">
      <w:start w:val="1"/>
      <w:numFmt w:val="lowerRoman"/>
      <w:pStyle w:val="Cmsor9"/>
      <w:lvlText w:val="%9."/>
      <w:lvlJc w:val="right"/>
      <w:pPr>
        <w:ind w:left="1584" w:hanging="144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153"/>
    <w:rsid w:val="00046172"/>
    <w:rsid w:val="00180561"/>
    <w:rsid w:val="001A48CD"/>
    <w:rsid w:val="00287698"/>
    <w:rsid w:val="002C798D"/>
    <w:rsid w:val="00307406"/>
    <w:rsid w:val="004725CE"/>
    <w:rsid w:val="00490E83"/>
    <w:rsid w:val="00496997"/>
    <w:rsid w:val="004C4D05"/>
    <w:rsid w:val="00520BEA"/>
    <w:rsid w:val="00821B2D"/>
    <w:rsid w:val="0090557D"/>
    <w:rsid w:val="00924153"/>
    <w:rsid w:val="009D07CD"/>
    <w:rsid w:val="009E7807"/>
    <w:rsid w:val="00A8239E"/>
    <w:rsid w:val="00B3691C"/>
    <w:rsid w:val="00BF1B79"/>
    <w:rsid w:val="00D30622"/>
    <w:rsid w:val="00D62FA0"/>
    <w:rsid w:val="00D669D8"/>
    <w:rsid w:val="00DA0A23"/>
    <w:rsid w:val="00F63E27"/>
    <w:rsid w:val="00F6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 w:val="24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rFonts w:ascii="Times New Roman" w:eastAsia="Times New Roman" w:hAnsi="Times New Roman" w:cs="Times New Roman"/>
      <w:sz w:val="20"/>
      <w:lang w:bidi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MS Gothic;ＭＳ ゴシック" w:hAnsi="Calibri" w:cs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MS Gothic;ＭＳ ゴシック" w:hAnsi="Calibri" w:cs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1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1"/>
      </w:numPr>
      <w:spacing w:before="240" w:after="60"/>
      <w:outlineLvl w:val="4"/>
    </w:pPr>
    <w:rPr>
      <w:rFonts w:ascii="Cambria" w:eastAsia="MS Mincho;ＭＳ 明朝" w:hAnsi="Cambria" w:cs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1"/>
      </w:numPr>
      <w:spacing w:before="240" w:after="60"/>
      <w:outlineLvl w:val="5"/>
    </w:pPr>
    <w:rPr>
      <w:rFonts w:ascii="Cambria" w:eastAsia="MS Mincho;ＭＳ 明朝" w:hAnsi="Cambria" w:cs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1"/>
      </w:numPr>
      <w:spacing w:before="240" w:after="60"/>
      <w:outlineLvl w:val="6"/>
    </w:pPr>
    <w:rPr>
      <w:rFonts w:ascii="Cambria" w:eastAsia="MS Mincho;ＭＳ 明朝" w:hAnsi="Cambria" w:cs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1"/>
      </w:numPr>
      <w:spacing w:before="240" w:after="60"/>
      <w:outlineLvl w:val="7"/>
    </w:pPr>
    <w:rPr>
      <w:rFonts w:ascii="Cambria" w:eastAsia="MS Mincho;ＭＳ 明朝" w:hAnsi="Cambria" w:cs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1"/>
      </w:numPr>
      <w:spacing w:before="240" w:after="60"/>
      <w:outlineLvl w:val="8"/>
    </w:pPr>
    <w:rPr>
      <w:rFonts w:ascii="Calibri" w:eastAsia="MS Gothic;ＭＳ ゴシック" w:hAnsi="Calibri" w:cs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  <w:rPr>
      <w:rFonts w:ascii="Adobe Garamond Pro;Times New Ro" w:hAnsi="Adobe Garamond Pro;Times New Ro" w:cs="Adobe Garamond Pro;Times New Ro"/>
    </w:rPr>
  </w:style>
  <w:style w:type="character" w:customStyle="1" w:styleId="WW8Num6z0">
    <w:name w:val="WW8Num6z0"/>
    <w:qFormat/>
  </w:style>
  <w:style w:type="character" w:customStyle="1" w:styleId="WW8Num7z0">
    <w:name w:val="WW8Num7z0"/>
    <w:qFormat/>
    <w:rPr>
      <w:sz w:val="20"/>
      <w:szCs w:val="20"/>
      <w:lang w:val="en"/>
    </w:rPr>
  </w:style>
  <w:style w:type="character" w:customStyle="1" w:styleId="WW8Num7z1">
    <w:name w:val="WW8Num7z1"/>
    <w:qFormat/>
  </w:style>
  <w:style w:type="character" w:customStyle="1" w:styleId="WW8Num8z0">
    <w:name w:val="WW8Num8z0"/>
    <w:qFormat/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20z0">
    <w:name w:val="WW8Num20z0"/>
    <w:qFormat/>
  </w:style>
  <w:style w:type="character" w:customStyle="1" w:styleId="WW8Num21z0">
    <w:name w:val="WW8Num21z0"/>
    <w:qFormat/>
    <w:rPr>
      <w:rFonts w:ascii="Arial" w:hAnsi="Arial" w:cs="Arial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Adobe Garamond Pro;Times New Ro" w:hAnsi="Adobe Garamond Pro;Times New Ro" w:cs="Adobe Garamond Pro;Times New Ro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  <w:rPr>
      <w:rFonts w:ascii="Arial" w:hAnsi="Arial" w:cs="Arial"/>
    </w:rPr>
  </w:style>
  <w:style w:type="character" w:customStyle="1" w:styleId="WW8Num28z0">
    <w:name w:val="WW8Num28z0"/>
    <w:qFormat/>
    <w:rPr>
      <w:sz w:val="20"/>
      <w:szCs w:val="20"/>
    </w:rPr>
  </w:style>
  <w:style w:type="character" w:customStyle="1" w:styleId="WW8Num28z1">
    <w:name w:val="WW8Num28z1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  <w:rPr>
      <w:rFonts w:ascii="Arial" w:hAnsi="Arial" w:cs="Arial"/>
    </w:rPr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Bekezdsalapbettpusa1">
    <w:name w:val="Bekezdés alapbetűtípusa1"/>
    <w:qFormat/>
  </w:style>
  <w:style w:type="character" w:customStyle="1" w:styleId="Cmsor1Char">
    <w:name w:val="Címsor 1 Char"/>
    <w:qFormat/>
    <w:rPr>
      <w:rFonts w:ascii="Arial" w:hAnsi="Arial" w:cs="Arial"/>
      <w:b/>
      <w:bCs/>
      <w:sz w:val="28"/>
      <w:szCs w:val="28"/>
      <w:lang w:val="hu-HU"/>
    </w:rPr>
  </w:style>
  <w:style w:type="character" w:customStyle="1" w:styleId="Cmsor4Char">
    <w:name w:val="Címsor 4 Char"/>
    <w:qFormat/>
    <w:rPr>
      <w:b/>
      <w:bCs/>
      <w:sz w:val="32"/>
      <w:szCs w:val="32"/>
      <w:lang w:val="hu-HU"/>
    </w:rPr>
  </w:style>
  <w:style w:type="character" w:customStyle="1" w:styleId="lfejChar">
    <w:name w:val="Élőfej Char"/>
    <w:qFormat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qFormat/>
    <w:rPr>
      <w:rFonts w:cs="Times New Roman"/>
      <w:sz w:val="24"/>
      <w:szCs w:val="24"/>
      <w:lang w:val="hu-HU"/>
    </w:rPr>
  </w:style>
  <w:style w:type="character" w:customStyle="1" w:styleId="llbChar">
    <w:name w:val="Élőláb Char"/>
    <w:qFormat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qFormat/>
    <w:rPr>
      <w:rFonts w:cs="Times New Roman"/>
      <w:b/>
      <w:bCs/>
      <w:lang w:val="hu-HU"/>
    </w:rPr>
  </w:style>
  <w:style w:type="character" w:customStyle="1" w:styleId="Cmsor2Char">
    <w:name w:val="Címsor 2 Char"/>
    <w:qFormat/>
    <w:rPr>
      <w:rFonts w:ascii="Calibri" w:eastAsia="MS Gothic;ＭＳ ゴシック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qFormat/>
    <w:rPr>
      <w:rFonts w:ascii="Calibri" w:eastAsia="MS Gothic;ＭＳ ゴシック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qFormat/>
    <w:rPr>
      <w:rFonts w:ascii="Cambria" w:eastAsia="MS Mincho;ＭＳ 明朝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qFormat/>
    <w:rPr>
      <w:rFonts w:ascii="Cambria" w:eastAsia="MS Mincho;ＭＳ 明朝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qFormat/>
    <w:rPr>
      <w:rFonts w:ascii="Cambria" w:eastAsia="MS Mincho;ＭＳ 明朝" w:hAnsi="Cambria" w:cs="Times New Roman"/>
      <w:sz w:val="24"/>
      <w:szCs w:val="24"/>
      <w:lang w:val="hu-HU"/>
    </w:rPr>
  </w:style>
  <w:style w:type="character" w:customStyle="1" w:styleId="Cmsor8Char">
    <w:name w:val="Címsor 8 Char"/>
    <w:qFormat/>
    <w:rPr>
      <w:rFonts w:ascii="Cambria" w:eastAsia="MS Mincho;ＭＳ 明朝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qFormat/>
    <w:rPr>
      <w:rFonts w:ascii="Calibri" w:eastAsia="MS Gothic;ＭＳ ゴシック" w:hAnsi="Calibri" w:cs="Times New Roman"/>
      <w:sz w:val="22"/>
      <w:szCs w:val="22"/>
      <w:lang w:val="hu-HU"/>
    </w:rPr>
  </w:style>
  <w:style w:type="character" w:styleId="Jegyzethivatkozs">
    <w:name w:val="annotation reference"/>
    <w:qFormat/>
    <w:rPr>
      <w:sz w:val="16"/>
      <w:szCs w:val="16"/>
    </w:rPr>
  </w:style>
  <w:style w:type="character" w:customStyle="1" w:styleId="JegyzetszvegChar">
    <w:name w:val="Jegyzetszöveg Char"/>
    <w:qFormat/>
    <w:rPr>
      <w:lang w:eastAsia="zh-CN"/>
    </w:rPr>
  </w:style>
  <w:style w:type="character" w:customStyle="1" w:styleId="MegjegyzstrgyaChar">
    <w:name w:val="Megjegyzés tárgya Char"/>
    <w:qFormat/>
    <w:rPr>
      <w:b/>
      <w:bCs/>
      <w:lang w:eastAsia="zh-CN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cm">
    <w:name w:val="c’m"/>
    <w:basedOn w:val="Cmsor1"/>
    <w:qFormat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rPr>
      <w:szCs w:val="20"/>
    </w:rPr>
  </w:style>
  <w:style w:type="paragraph" w:styleId="llb">
    <w:name w:val="footer"/>
    <w:basedOn w:val="Norml"/>
  </w:style>
  <w:style w:type="paragraph" w:customStyle="1" w:styleId="Szvegtrzs21">
    <w:name w:val="Szövegtörzs 21"/>
    <w:basedOn w:val="Norml"/>
    <w:qFormat/>
    <w:pPr>
      <w:jc w:val="both"/>
    </w:pPr>
    <w:rPr>
      <w:b/>
      <w:bCs/>
      <w:szCs w:val="20"/>
    </w:rPr>
  </w:style>
  <w:style w:type="paragraph" w:customStyle="1" w:styleId="Default">
    <w:name w:val="Default"/>
    <w:qFormat/>
    <w:pPr>
      <w:suppressAutoHyphens/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Felsorols1">
    <w:name w:val="Felsorolás1"/>
    <w:basedOn w:val="Norml"/>
    <w:qFormat/>
    <w:pPr>
      <w:widowControl w:val="0"/>
      <w:tabs>
        <w:tab w:val="num" w:pos="360"/>
      </w:tabs>
      <w:overflowPunct w:val="0"/>
      <w:spacing w:after="120"/>
      <w:ind w:left="360" w:hanging="36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qFormat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qFormat/>
    <w:pPr>
      <w:suppressLineNumbers/>
    </w:pPr>
  </w:style>
  <w:style w:type="paragraph" w:customStyle="1" w:styleId="Tblzatfejlc">
    <w:name w:val="Táblázatfejléc"/>
    <w:basedOn w:val="Tblzattartalom"/>
    <w:qFormat/>
    <w:pPr>
      <w:jc w:val="center"/>
    </w:pPr>
    <w:rPr>
      <w:b/>
      <w:bCs/>
    </w:rPr>
  </w:style>
  <w:style w:type="paragraph" w:styleId="Jegyzetszveg">
    <w:name w:val="annotation text"/>
    <w:basedOn w:val="Norml"/>
    <w:qFormat/>
    <w:rPr>
      <w:szCs w:val="20"/>
    </w:rPr>
  </w:style>
  <w:style w:type="paragraph" w:styleId="Megjegyzstrgya">
    <w:name w:val="annotation subject"/>
    <w:basedOn w:val="Jegyzetszveg"/>
    <w:next w:val="Jegyzetszveg"/>
    <w:qFormat/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 w:val="24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rFonts w:ascii="Times New Roman" w:eastAsia="Times New Roman" w:hAnsi="Times New Roman" w:cs="Times New Roman"/>
      <w:sz w:val="20"/>
      <w:lang w:bidi="ar-SA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MS Gothic;ＭＳ ゴシック" w:hAnsi="Calibri" w:cs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MS Gothic;ＭＳ ゴシック" w:hAnsi="Calibri" w:cs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1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1"/>
      </w:numPr>
      <w:spacing w:before="240" w:after="60"/>
      <w:outlineLvl w:val="4"/>
    </w:pPr>
    <w:rPr>
      <w:rFonts w:ascii="Cambria" w:eastAsia="MS Mincho;ＭＳ 明朝" w:hAnsi="Cambria" w:cs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1"/>
      </w:numPr>
      <w:spacing w:before="240" w:after="60"/>
      <w:outlineLvl w:val="5"/>
    </w:pPr>
    <w:rPr>
      <w:rFonts w:ascii="Cambria" w:eastAsia="MS Mincho;ＭＳ 明朝" w:hAnsi="Cambria" w:cs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1"/>
      </w:numPr>
      <w:spacing w:before="240" w:after="60"/>
      <w:outlineLvl w:val="6"/>
    </w:pPr>
    <w:rPr>
      <w:rFonts w:ascii="Cambria" w:eastAsia="MS Mincho;ＭＳ 明朝" w:hAnsi="Cambria" w:cs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1"/>
      </w:numPr>
      <w:spacing w:before="240" w:after="60"/>
      <w:outlineLvl w:val="7"/>
    </w:pPr>
    <w:rPr>
      <w:rFonts w:ascii="Cambria" w:eastAsia="MS Mincho;ＭＳ 明朝" w:hAnsi="Cambria" w:cs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1"/>
      </w:numPr>
      <w:spacing w:before="240" w:after="60"/>
      <w:outlineLvl w:val="8"/>
    </w:pPr>
    <w:rPr>
      <w:rFonts w:ascii="Calibri" w:eastAsia="MS Gothic;ＭＳ ゴシック" w:hAnsi="Calibri" w:cs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  <w:rPr>
      <w:rFonts w:ascii="Adobe Garamond Pro;Times New Ro" w:hAnsi="Adobe Garamond Pro;Times New Ro" w:cs="Adobe Garamond Pro;Times New Ro"/>
    </w:rPr>
  </w:style>
  <w:style w:type="character" w:customStyle="1" w:styleId="WW8Num6z0">
    <w:name w:val="WW8Num6z0"/>
    <w:qFormat/>
  </w:style>
  <w:style w:type="character" w:customStyle="1" w:styleId="WW8Num7z0">
    <w:name w:val="WW8Num7z0"/>
    <w:qFormat/>
    <w:rPr>
      <w:sz w:val="20"/>
      <w:szCs w:val="20"/>
      <w:lang w:val="en"/>
    </w:rPr>
  </w:style>
  <w:style w:type="character" w:customStyle="1" w:styleId="WW8Num7z1">
    <w:name w:val="WW8Num7z1"/>
    <w:qFormat/>
  </w:style>
  <w:style w:type="character" w:customStyle="1" w:styleId="WW8Num8z0">
    <w:name w:val="WW8Num8z0"/>
    <w:qFormat/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20z0">
    <w:name w:val="WW8Num20z0"/>
    <w:qFormat/>
  </w:style>
  <w:style w:type="character" w:customStyle="1" w:styleId="WW8Num21z0">
    <w:name w:val="WW8Num21z0"/>
    <w:qFormat/>
    <w:rPr>
      <w:rFonts w:ascii="Arial" w:hAnsi="Arial" w:cs="Arial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Adobe Garamond Pro;Times New Ro" w:hAnsi="Adobe Garamond Pro;Times New Ro" w:cs="Adobe Garamond Pro;Times New Ro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  <w:rPr>
      <w:rFonts w:ascii="Arial" w:hAnsi="Arial" w:cs="Arial"/>
    </w:rPr>
  </w:style>
  <w:style w:type="character" w:customStyle="1" w:styleId="WW8Num28z0">
    <w:name w:val="WW8Num28z0"/>
    <w:qFormat/>
    <w:rPr>
      <w:sz w:val="20"/>
      <w:szCs w:val="20"/>
    </w:rPr>
  </w:style>
  <w:style w:type="character" w:customStyle="1" w:styleId="WW8Num28z1">
    <w:name w:val="WW8Num28z1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  <w:rPr>
      <w:rFonts w:ascii="Arial" w:hAnsi="Arial" w:cs="Arial"/>
    </w:rPr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Bekezdsalapbettpusa1">
    <w:name w:val="Bekezdés alapbetűtípusa1"/>
    <w:qFormat/>
  </w:style>
  <w:style w:type="character" w:customStyle="1" w:styleId="Cmsor1Char">
    <w:name w:val="Címsor 1 Char"/>
    <w:qFormat/>
    <w:rPr>
      <w:rFonts w:ascii="Arial" w:hAnsi="Arial" w:cs="Arial"/>
      <w:b/>
      <w:bCs/>
      <w:sz w:val="28"/>
      <w:szCs w:val="28"/>
      <w:lang w:val="hu-HU"/>
    </w:rPr>
  </w:style>
  <w:style w:type="character" w:customStyle="1" w:styleId="Cmsor4Char">
    <w:name w:val="Címsor 4 Char"/>
    <w:qFormat/>
    <w:rPr>
      <w:b/>
      <w:bCs/>
      <w:sz w:val="32"/>
      <w:szCs w:val="32"/>
      <w:lang w:val="hu-HU"/>
    </w:rPr>
  </w:style>
  <w:style w:type="character" w:customStyle="1" w:styleId="lfejChar">
    <w:name w:val="Élőfej Char"/>
    <w:qFormat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qFormat/>
    <w:rPr>
      <w:rFonts w:cs="Times New Roman"/>
      <w:sz w:val="24"/>
      <w:szCs w:val="24"/>
      <w:lang w:val="hu-HU"/>
    </w:rPr>
  </w:style>
  <w:style w:type="character" w:customStyle="1" w:styleId="llbChar">
    <w:name w:val="Élőláb Char"/>
    <w:qFormat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qFormat/>
    <w:rPr>
      <w:rFonts w:cs="Times New Roman"/>
      <w:b/>
      <w:bCs/>
      <w:lang w:val="hu-HU"/>
    </w:rPr>
  </w:style>
  <w:style w:type="character" w:customStyle="1" w:styleId="Cmsor2Char">
    <w:name w:val="Címsor 2 Char"/>
    <w:qFormat/>
    <w:rPr>
      <w:rFonts w:ascii="Calibri" w:eastAsia="MS Gothic;ＭＳ ゴシック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qFormat/>
    <w:rPr>
      <w:rFonts w:ascii="Calibri" w:eastAsia="MS Gothic;ＭＳ ゴシック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qFormat/>
    <w:rPr>
      <w:rFonts w:ascii="Cambria" w:eastAsia="MS Mincho;ＭＳ 明朝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qFormat/>
    <w:rPr>
      <w:rFonts w:ascii="Cambria" w:eastAsia="MS Mincho;ＭＳ 明朝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qFormat/>
    <w:rPr>
      <w:rFonts w:ascii="Cambria" w:eastAsia="MS Mincho;ＭＳ 明朝" w:hAnsi="Cambria" w:cs="Times New Roman"/>
      <w:sz w:val="24"/>
      <w:szCs w:val="24"/>
      <w:lang w:val="hu-HU"/>
    </w:rPr>
  </w:style>
  <w:style w:type="character" w:customStyle="1" w:styleId="Cmsor8Char">
    <w:name w:val="Címsor 8 Char"/>
    <w:qFormat/>
    <w:rPr>
      <w:rFonts w:ascii="Cambria" w:eastAsia="MS Mincho;ＭＳ 明朝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qFormat/>
    <w:rPr>
      <w:rFonts w:ascii="Calibri" w:eastAsia="MS Gothic;ＭＳ ゴシック" w:hAnsi="Calibri" w:cs="Times New Roman"/>
      <w:sz w:val="22"/>
      <w:szCs w:val="22"/>
      <w:lang w:val="hu-HU"/>
    </w:rPr>
  </w:style>
  <w:style w:type="character" w:styleId="Jegyzethivatkozs">
    <w:name w:val="annotation reference"/>
    <w:qFormat/>
    <w:rPr>
      <w:sz w:val="16"/>
      <w:szCs w:val="16"/>
    </w:rPr>
  </w:style>
  <w:style w:type="character" w:customStyle="1" w:styleId="JegyzetszvegChar">
    <w:name w:val="Jegyzetszöveg Char"/>
    <w:qFormat/>
    <w:rPr>
      <w:lang w:eastAsia="zh-CN"/>
    </w:rPr>
  </w:style>
  <w:style w:type="character" w:customStyle="1" w:styleId="MegjegyzstrgyaChar">
    <w:name w:val="Megjegyzés tárgya Char"/>
    <w:qFormat/>
    <w:rPr>
      <w:b/>
      <w:bCs/>
      <w:lang w:eastAsia="zh-CN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cm">
    <w:name w:val="c’m"/>
    <w:basedOn w:val="Cmsor1"/>
    <w:qFormat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rPr>
      <w:szCs w:val="20"/>
    </w:rPr>
  </w:style>
  <w:style w:type="paragraph" w:styleId="llb">
    <w:name w:val="footer"/>
    <w:basedOn w:val="Norml"/>
  </w:style>
  <w:style w:type="paragraph" w:customStyle="1" w:styleId="Szvegtrzs21">
    <w:name w:val="Szövegtörzs 21"/>
    <w:basedOn w:val="Norml"/>
    <w:qFormat/>
    <w:pPr>
      <w:jc w:val="both"/>
    </w:pPr>
    <w:rPr>
      <w:b/>
      <w:bCs/>
      <w:szCs w:val="20"/>
    </w:rPr>
  </w:style>
  <w:style w:type="paragraph" w:customStyle="1" w:styleId="Default">
    <w:name w:val="Default"/>
    <w:qFormat/>
    <w:pPr>
      <w:suppressAutoHyphens/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Felsorols1">
    <w:name w:val="Felsorolás1"/>
    <w:basedOn w:val="Norml"/>
    <w:qFormat/>
    <w:pPr>
      <w:widowControl w:val="0"/>
      <w:tabs>
        <w:tab w:val="num" w:pos="360"/>
      </w:tabs>
      <w:overflowPunct w:val="0"/>
      <w:spacing w:after="120"/>
      <w:ind w:left="360" w:hanging="36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qFormat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qFormat/>
    <w:pPr>
      <w:suppressLineNumbers/>
    </w:pPr>
  </w:style>
  <w:style w:type="paragraph" w:customStyle="1" w:styleId="Tblzatfejlc">
    <w:name w:val="Táblázatfejléc"/>
    <w:basedOn w:val="Tblzattartalom"/>
    <w:qFormat/>
    <w:pPr>
      <w:jc w:val="center"/>
    </w:pPr>
    <w:rPr>
      <w:b/>
      <w:bCs/>
    </w:rPr>
  </w:style>
  <w:style w:type="paragraph" w:styleId="Jegyzetszveg">
    <w:name w:val="annotation text"/>
    <w:basedOn w:val="Norml"/>
    <w:qFormat/>
    <w:rPr>
      <w:szCs w:val="20"/>
    </w:rPr>
  </w:style>
  <w:style w:type="paragraph" w:styleId="Megjegyzstrgya">
    <w:name w:val="annotation subject"/>
    <w:basedOn w:val="Jegyzetszveg"/>
    <w:next w:val="Jegyzetszveg"/>
    <w:qFormat/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2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0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3871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Molnar</cp:lastModifiedBy>
  <cp:revision>2</cp:revision>
  <cp:lastPrinted>2012-03-06T19:02:00Z</cp:lastPrinted>
  <dcterms:created xsi:type="dcterms:W3CDTF">2017-06-21T07:46:00Z</dcterms:created>
  <dcterms:modified xsi:type="dcterms:W3CDTF">2017-06-21T07:46:00Z</dcterms:modified>
  <dc:language>hu-HU</dc:language>
</cp:coreProperties>
</file>